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50"/>
        <w:gridCol w:w="12420"/>
      </w:tblGrid>
      <w:tr w:rsidR="00410B49" w:rsidRPr="003931E5" w:rsidTr="00EA4813">
        <w:tc>
          <w:tcPr>
            <w:tcW w:w="14670" w:type="dxa"/>
            <w:gridSpan w:val="2"/>
            <w:shd w:val="clear" w:color="auto" w:fill="A6CE39"/>
          </w:tcPr>
          <w:p w:rsidR="00410B49" w:rsidRPr="003931E5" w:rsidRDefault="003931E5" w:rsidP="003931E5">
            <w:pPr>
              <w:contextualSpacing/>
              <w:jc w:val="center"/>
              <w:rPr>
                <w:szCs w:val="28"/>
                <w:lang w:val="es-CR" w:bidi="th-TH"/>
              </w:rPr>
            </w:pPr>
            <w:r w:rsidRPr="003931E5">
              <w:rPr>
                <w:rFonts w:cstheme="minorHAnsi"/>
                <w:b/>
                <w:bCs/>
                <w:sz w:val="28"/>
                <w:szCs w:val="28"/>
                <w:lang w:val="es-CR"/>
              </w:rPr>
              <w:t>RESUMEN DE LA HERRAMIENTA</w:t>
            </w:r>
            <w:r w:rsidR="00410B49" w:rsidRPr="003931E5">
              <w:rPr>
                <w:rFonts w:cstheme="minorHAnsi"/>
                <w:b/>
                <w:bCs/>
                <w:sz w:val="28"/>
                <w:szCs w:val="28"/>
                <w:lang w:val="es-CR"/>
              </w:rPr>
              <w:t xml:space="preserve">: </w:t>
            </w:r>
            <w:r w:rsidRPr="003931E5">
              <w:rPr>
                <w:rFonts w:cstheme="minorHAnsi"/>
                <w:b/>
                <w:bCs/>
                <w:sz w:val="28"/>
                <w:szCs w:val="28"/>
                <w:lang w:val="es-CR"/>
              </w:rPr>
              <w:t>TRADUCTOR DEL MARCO LÓGICO</w:t>
            </w:r>
          </w:p>
        </w:tc>
      </w:tr>
      <w:tr w:rsidR="00410B49" w:rsidRPr="003931E5" w:rsidTr="00EA4813">
        <w:tc>
          <w:tcPr>
            <w:tcW w:w="2250" w:type="dxa"/>
            <w:shd w:val="clear" w:color="auto" w:fill="404040" w:themeFill="text1" w:themeFillTint="BF"/>
            <w:vAlign w:val="center"/>
          </w:tcPr>
          <w:p w:rsidR="00410B49" w:rsidRPr="003931E5" w:rsidRDefault="00410B49" w:rsidP="00EA4813">
            <w:pPr>
              <w:rPr>
                <w:color w:val="FFFFFF" w:themeColor="background1"/>
                <w:sz w:val="24"/>
                <w:szCs w:val="24"/>
                <w:lang w:val="es-CR"/>
              </w:rPr>
            </w:pPr>
            <w:bookmarkStart w:id="0" w:name="OLE_LINK1"/>
            <w:r w:rsidRPr="003931E5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  <w:t>Propósito</w:t>
            </w:r>
          </w:p>
        </w:tc>
        <w:tc>
          <w:tcPr>
            <w:tcW w:w="12420" w:type="dxa"/>
          </w:tcPr>
          <w:p w:rsidR="00D81DFD" w:rsidRPr="003931E5" w:rsidRDefault="00602C4B" w:rsidP="00410B49">
            <w:pPr>
              <w:contextualSpacing/>
              <w:rPr>
                <w:szCs w:val="28"/>
                <w:lang w:val="es-CR" w:bidi="th-TH"/>
              </w:rPr>
            </w:pPr>
            <w:r w:rsidRPr="003931E5">
              <w:rPr>
                <w:szCs w:val="28"/>
                <w:lang w:val="es-CR" w:bidi="th-TH"/>
              </w:rPr>
              <w:t xml:space="preserve">El propósito del </w:t>
            </w:r>
            <w:r w:rsidR="001B63C5" w:rsidRPr="001B63C5">
              <w:rPr>
                <w:szCs w:val="28"/>
                <w:u w:val="single"/>
                <w:lang w:val="es-CR" w:bidi="th-TH"/>
              </w:rPr>
              <w:t>traductor de</w:t>
            </w:r>
            <w:r w:rsidR="007C64CD">
              <w:rPr>
                <w:szCs w:val="28"/>
                <w:u w:val="single"/>
                <w:lang w:val="es-CR" w:bidi="th-TH"/>
              </w:rPr>
              <w:t>l</w:t>
            </w:r>
            <w:r w:rsidR="001B63C5" w:rsidRPr="001B63C5">
              <w:rPr>
                <w:szCs w:val="28"/>
                <w:u w:val="single"/>
                <w:lang w:val="es-CR" w:bidi="th-TH"/>
              </w:rPr>
              <w:t xml:space="preserve"> marco lógico</w:t>
            </w:r>
            <w:r w:rsidR="001B63C5" w:rsidRPr="003931E5">
              <w:rPr>
                <w:szCs w:val="28"/>
                <w:lang w:val="es-CR" w:bidi="th-TH"/>
              </w:rPr>
              <w:t xml:space="preserve"> </w:t>
            </w:r>
            <w:r w:rsidR="00410B49" w:rsidRPr="003931E5">
              <w:rPr>
                <w:szCs w:val="28"/>
                <w:lang w:val="es-CR" w:bidi="th-TH"/>
              </w:rPr>
              <w:t xml:space="preserve">es determinar </w:t>
            </w:r>
            <w:r w:rsidRPr="003931E5">
              <w:rPr>
                <w:szCs w:val="28"/>
                <w:lang w:val="es-CR" w:bidi="th-TH"/>
              </w:rPr>
              <w:t>la term</w:t>
            </w:r>
            <w:r w:rsidR="00410B49" w:rsidRPr="003931E5">
              <w:rPr>
                <w:szCs w:val="28"/>
                <w:lang w:val="es-CR" w:bidi="th-TH"/>
              </w:rPr>
              <w:t>inología</w:t>
            </w:r>
            <w:r w:rsidRPr="003931E5">
              <w:rPr>
                <w:szCs w:val="28"/>
                <w:lang w:val="es-CR" w:bidi="th-TH"/>
              </w:rPr>
              <w:t xml:space="preserve"> </w:t>
            </w:r>
            <w:r w:rsidR="001B63C5">
              <w:rPr>
                <w:szCs w:val="28"/>
                <w:lang w:val="es-CR" w:bidi="th-TH"/>
              </w:rPr>
              <w:t xml:space="preserve">que utilizan los donantes en el mismo para velar por </w:t>
            </w:r>
            <w:r w:rsidR="00410B49" w:rsidRPr="003931E5">
              <w:rPr>
                <w:szCs w:val="28"/>
                <w:lang w:val="es-CR" w:bidi="th-TH"/>
              </w:rPr>
              <w:t xml:space="preserve">que los términos </w:t>
            </w:r>
            <w:r w:rsidR="001B63C5">
              <w:rPr>
                <w:szCs w:val="28"/>
                <w:lang w:val="es-CR" w:bidi="th-TH"/>
              </w:rPr>
              <w:t xml:space="preserve">empleados </w:t>
            </w:r>
            <w:r w:rsidR="00410B49" w:rsidRPr="003931E5">
              <w:rPr>
                <w:szCs w:val="28"/>
                <w:lang w:val="es-CR" w:bidi="th-TH"/>
              </w:rPr>
              <w:t xml:space="preserve">en las propuestas </w:t>
            </w:r>
            <w:r w:rsidR="001B63C5">
              <w:rPr>
                <w:szCs w:val="28"/>
                <w:lang w:val="es-CR" w:bidi="th-TH"/>
              </w:rPr>
              <w:t>coinciden con los que prefieren los donantes</w:t>
            </w:r>
            <w:r w:rsidR="00D81DFD" w:rsidRPr="003931E5">
              <w:rPr>
                <w:szCs w:val="28"/>
                <w:lang w:val="es-CR" w:bidi="th-TH"/>
              </w:rPr>
              <w:t>.</w:t>
            </w:r>
          </w:p>
          <w:p w:rsidR="00410B49" w:rsidRPr="006B6C95" w:rsidRDefault="007C64CD" w:rsidP="00D81DFD">
            <w:pPr>
              <w:pStyle w:val="ListParagraph"/>
              <w:numPr>
                <w:ilvl w:val="0"/>
                <w:numId w:val="17"/>
              </w:numPr>
              <w:rPr>
                <w:lang w:val="es-CR"/>
              </w:rPr>
            </w:pPr>
            <w:r w:rsidRPr="006B6C95">
              <w:rPr>
                <w:lang w:val="es-CR"/>
              </w:rPr>
              <w:t>Los donantes</w:t>
            </w:r>
            <w:r w:rsidR="00D81DFD" w:rsidRPr="006B6C95">
              <w:rPr>
                <w:lang w:val="es-CR"/>
              </w:rPr>
              <w:t xml:space="preserve"> y </w:t>
            </w:r>
            <w:r w:rsidR="001B63C5" w:rsidRPr="006B6C95">
              <w:rPr>
                <w:lang w:val="es-CR"/>
              </w:rPr>
              <w:t xml:space="preserve">las agencias </w:t>
            </w:r>
            <w:r w:rsidR="00410B49" w:rsidRPr="006B6C95">
              <w:rPr>
                <w:lang w:val="es-CR"/>
              </w:rPr>
              <w:t xml:space="preserve">utiliza términos </w:t>
            </w:r>
            <w:r w:rsidR="001B63C5" w:rsidRPr="006B6C95">
              <w:rPr>
                <w:lang w:val="es-CR"/>
              </w:rPr>
              <w:t>un poco</w:t>
            </w:r>
            <w:r w:rsidR="00D81DFD" w:rsidRPr="006B6C95">
              <w:rPr>
                <w:lang w:val="es-CR"/>
              </w:rPr>
              <w:t xml:space="preserve"> diferentes </w:t>
            </w:r>
            <w:r w:rsidR="001B63C5" w:rsidRPr="006B6C95">
              <w:rPr>
                <w:lang w:val="es-CR"/>
              </w:rPr>
              <w:t xml:space="preserve">para </w:t>
            </w:r>
            <w:r w:rsidR="00D81DFD" w:rsidRPr="006B6C95">
              <w:rPr>
                <w:lang w:val="es-CR"/>
              </w:rPr>
              <w:t xml:space="preserve">la jerarquía de resultados </w:t>
            </w:r>
            <w:r w:rsidR="001B63C5" w:rsidRPr="006B6C95">
              <w:rPr>
                <w:lang w:val="es-CR"/>
              </w:rPr>
              <w:t>d</w:t>
            </w:r>
            <w:r w:rsidR="00D81DFD" w:rsidRPr="006B6C95">
              <w:rPr>
                <w:lang w:val="es-CR"/>
              </w:rPr>
              <w:t>el</w:t>
            </w:r>
            <w:r w:rsidR="00410B49" w:rsidRPr="006B6C95">
              <w:rPr>
                <w:lang w:val="es-CR"/>
              </w:rPr>
              <w:t xml:space="preserve"> proyecto</w:t>
            </w:r>
            <w:r w:rsidR="001B63C5" w:rsidRPr="006B6C95">
              <w:rPr>
                <w:lang w:val="es-CR"/>
              </w:rPr>
              <w:t>,</w:t>
            </w:r>
            <w:r w:rsidR="00410B49" w:rsidRPr="006B6C95">
              <w:rPr>
                <w:lang w:val="es-CR"/>
              </w:rPr>
              <w:t xml:space="preserve"> pero el concepto de tener diferentes niveles de resultados</w:t>
            </w:r>
            <w:r w:rsidR="006B6C95" w:rsidRPr="006B6C95">
              <w:rPr>
                <w:lang w:val="es-CR"/>
              </w:rPr>
              <w:t xml:space="preserve"> —en el cual u</w:t>
            </w:r>
            <w:r w:rsidR="00410B49" w:rsidRPr="006B6C95">
              <w:rPr>
                <w:lang w:val="es-CR"/>
              </w:rPr>
              <w:t xml:space="preserve">n resultado de nivel inferior </w:t>
            </w:r>
            <w:r w:rsidR="006B6C95" w:rsidRPr="006B6C95">
              <w:rPr>
                <w:lang w:val="es-CR"/>
              </w:rPr>
              <w:t xml:space="preserve">conduce </w:t>
            </w:r>
            <w:r w:rsidR="00410B49" w:rsidRPr="006B6C95">
              <w:rPr>
                <w:lang w:val="es-CR"/>
              </w:rPr>
              <w:t xml:space="preserve">lógicamente </w:t>
            </w:r>
            <w:r w:rsidR="006B6C95" w:rsidRPr="006B6C95">
              <w:rPr>
                <w:lang w:val="es-CR"/>
              </w:rPr>
              <w:t xml:space="preserve">a la consecución </w:t>
            </w:r>
            <w:r w:rsidR="00410B49" w:rsidRPr="006B6C95">
              <w:rPr>
                <w:lang w:val="es-CR"/>
              </w:rPr>
              <w:t>de los resultados en el siguiente nivel</w:t>
            </w:r>
            <w:r w:rsidR="006B6C95" w:rsidRPr="006B6C95">
              <w:rPr>
                <w:lang w:val="es-CR"/>
              </w:rPr>
              <w:t>—</w:t>
            </w:r>
            <w:r w:rsidR="00410B49" w:rsidRPr="006B6C95">
              <w:rPr>
                <w:lang w:val="es-CR"/>
              </w:rPr>
              <w:t xml:space="preserve">es </w:t>
            </w:r>
            <w:r w:rsidR="006B6C95">
              <w:rPr>
                <w:lang w:val="es-CR"/>
              </w:rPr>
              <w:t>congruente</w:t>
            </w:r>
            <w:r w:rsidR="00410B49" w:rsidRPr="006B6C95">
              <w:rPr>
                <w:lang w:val="es-CR"/>
              </w:rPr>
              <w:t>.</w:t>
            </w:r>
          </w:p>
          <w:p w:rsidR="001B63C5" w:rsidRPr="001B63C5" w:rsidRDefault="00410B49" w:rsidP="00EA4813">
            <w:pPr>
              <w:pStyle w:val="ListParagraph"/>
              <w:numPr>
                <w:ilvl w:val="0"/>
                <w:numId w:val="17"/>
              </w:numPr>
              <w:rPr>
                <w:lang w:val="es-CR"/>
              </w:rPr>
            </w:pPr>
            <w:r w:rsidRPr="003931E5">
              <w:rPr>
                <w:lang w:val="es-CR"/>
              </w:rPr>
              <w:t>Esta herr</w:t>
            </w:r>
            <w:r w:rsidR="006B6C95">
              <w:rPr>
                <w:lang w:val="es-CR"/>
              </w:rPr>
              <w:t xml:space="preserve">amienta es una tabla que resume la diferente terminología que emplean </w:t>
            </w:r>
            <w:r w:rsidRPr="003931E5">
              <w:rPr>
                <w:lang w:val="es-CR"/>
              </w:rPr>
              <w:t xml:space="preserve">los principales donantes (USAID, la Fundación Gates) y </w:t>
            </w:r>
            <w:r w:rsidR="00602C4B" w:rsidRPr="003931E5">
              <w:rPr>
                <w:lang w:val="es-CR"/>
              </w:rPr>
              <w:t>las agencias</w:t>
            </w:r>
            <w:r w:rsidRPr="003931E5">
              <w:rPr>
                <w:lang w:val="es-CR"/>
              </w:rPr>
              <w:t xml:space="preserve"> </w:t>
            </w:r>
            <w:r w:rsidR="006B6C95">
              <w:rPr>
                <w:lang w:val="es-CR"/>
              </w:rPr>
              <w:t xml:space="preserve">afines a la nuestra </w:t>
            </w:r>
            <w:r w:rsidRPr="003931E5">
              <w:rPr>
                <w:lang w:val="es-CR"/>
              </w:rPr>
              <w:t xml:space="preserve">(Catholic Relief Services, CARE) para cada nivel de </w:t>
            </w:r>
            <w:r w:rsidR="00602C4B" w:rsidRPr="003931E5">
              <w:rPr>
                <w:lang w:val="es-CR"/>
              </w:rPr>
              <w:t xml:space="preserve">la jerarquía de los resultados </w:t>
            </w:r>
            <w:r w:rsidR="00EA4813">
              <w:rPr>
                <w:lang w:val="es-CR"/>
              </w:rPr>
              <w:t>del proyecto</w:t>
            </w:r>
            <w:r w:rsidRPr="003931E5">
              <w:rPr>
                <w:lang w:val="es-CR"/>
              </w:rPr>
              <w:t>.</w:t>
            </w:r>
          </w:p>
        </w:tc>
      </w:tr>
      <w:tr w:rsidR="00410B49" w:rsidRPr="003931E5" w:rsidTr="00EA4813">
        <w:tc>
          <w:tcPr>
            <w:tcW w:w="2250" w:type="dxa"/>
            <w:shd w:val="clear" w:color="auto" w:fill="404040" w:themeFill="text1" w:themeFillTint="BF"/>
            <w:vAlign w:val="center"/>
          </w:tcPr>
          <w:p w:rsidR="00410B49" w:rsidRPr="003931E5" w:rsidRDefault="00410B49" w:rsidP="00EA4813">
            <w:pPr>
              <w:rPr>
                <w:color w:val="FFFFFF" w:themeColor="background1"/>
                <w:sz w:val="24"/>
                <w:szCs w:val="24"/>
                <w:lang w:val="es-CR"/>
              </w:rPr>
            </w:pPr>
            <w:r w:rsidRPr="003931E5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  <w:t>Fuente de información</w:t>
            </w:r>
          </w:p>
        </w:tc>
        <w:tc>
          <w:tcPr>
            <w:tcW w:w="12420" w:type="dxa"/>
          </w:tcPr>
          <w:p w:rsidR="00410B49" w:rsidRPr="003931E5" w:rsidRDefault="00D81DFD" w:rsidP="00EA4813">
            <w:pPr>
              <w:rPr>
                <w:bCs/>
                <w:lang w:val="es-CR"/>
              </w:rPr>
            </w:pPr>
            <w:r w:rsidRPr="003931E5">
              <w:rPr>
                <w:bCs/>
                <w:lang w:val="es-CR"/>
              </w:rPr>
              <w:t xml:space="preserve">Esta es una herramienta independiente que se utiliza como referencia sencilla. </w:t>
            </w:r>
            <w:r w:rsidR="00EA4813">
              <w:rPr>
                <w:bCs/>
                <w:lang w:val="es-CR"/>
              </w:rPr>
              <w:t>Se añadirán ejemplos adicionales</w:t>
            </w:r>
            <w:r w:rsidRPr="003931E5">
              <w:rPr>
                <w:bCs/>
                <w:lang w:val="es-CR"/>
              </w:rPr>
              <w:t>, en particular</w:t>
            </w:r>
            <w:r w:rsidR="00EA4813">
              <w:rPr>
                <w:bCs/>
                <w:lang w:val="es-CR"/>
              </w:rPr>
              <w:t xml:space="preserve"> sobre</w:t>
            </w:r>
            <w:r w:rsidR="00602C4B" w:rsidRPr="003931E5">
              <w:rPr>
                <w:bCs/>
                <w:lang w:val="es-CR"/>
              </w:rPr>
              <w:t xml:space="preserve"> </w:t>
            </w:r>
            <w:r w:rsidRPr="003931E5">
              <w:rPr>
                <w:bCs/>
                <w:lang w:val="es-CR"/>
              </w:rPr>
              <w:t xml:space="preserve">los donantes </w:t>
            </w:r>
            <w:r w:rsidR="00602C4B" w:rsidRPr="003931E5">
              <w:rPr>
                <w:bCs/>
                <w:lang w:val="es-CR"/>
              </w:rPr>
              <w:t xml:space="preserve">institucionales y </w:t>
            </w:r>
            <w:r w:rsidR="00EA4813">
              <w:rPr>
                <w:bCs/>
                <w:lang w:val="es-CR"/>
              </w:rPr>
              <w:t xml:space="preserve">las </w:t>
            </w:r>
            <w:r w:rsidR="00602C4B" w:rsidRPr="003931E5">
              <w:rPr>
                <w:bCs/>
                <w:lang w:val="es-CR"/>
              </w:rPr>
              <w:t xml:space="preserve">fundaciones, </w:t>
            </w:r>
            <w:r w:rsidR="00EA4813">
              <w:rPr>
                <w:bCs/>
                <w:lang w:val="es-CR"/>
              </w:rPr>
              <w:t xml:space="preserve">a medida que </w:t>
            </w:r>
            <w:r w:rsidRPr="003931E5">
              <w:rPr>
                <w:bCs/>
                <w:lang w:val="es-CR"/>
              </w:rPr>
              <w:t xml:space="preserve">LWR amplía su cooperación y </w:t>
            </w:r>
            <w:r w:rsidR="00EA4813">
              <w:rPr>
                <w:bCs/>
                <w:lang w:val="es-CR"/>
              </w:rPr>
              <w:t>labores</w:t>
            </w:r>
            <w:r w:rsidRPr="003931E5">
              <w:rPr>
                <w:bCs/>
                <w:lang w:val="es-CR"/>
              </w:rPr>
              <w:t xml:space="preserve"> con estas organizaciones.</w:t>
            </w:r>
          </w:p>
        </w:tc>
      </w:tr>
      <w:tr w:rsidR="00410B49" w:rsidRPr="003931E5" w:rsidTr="00EA4813">
        <w:tc>
          <w:tcPr>
            <w:tcW w:w="2250" w:type="dxa"/>
            <w:shd w:val="clear" w:color="auto" w:fill="404040" w:themeFill="text1" w:themeFillTint="BF"/>
            <w:vAlign w:val="center"/>
          </w:tcPr>
          <w:p w:rsidR="00410B49" w:rsidRPr="003931E5" w:rsidRDefault="00410B49" w:rsidP="00EA4813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</w:pPr>
            <w:r w:rsidRPr="003931E5">
              <w:rPr>
                <w:color w:val="FFFFFF" w:themeColor="background1"/>
                <w:sz w:val="24"/>
                <w:szCs w:val="24"/>
                <w:lang w:val="es-CR"/>
              </w:rPr>
              <w:br w:type="page"/>
            </w:r>
            <w:r w:rsidRPr="003931E5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  <w:t>Quién</w:t>
            </w:r>
            <w:r w:rsidR="003931E5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  <w:t>(es)</w:t>
            </w:r>
          </w:p>
        </w:tc>
        <w:tc>
          <w:tcPr>
            <w:tcW w:w="12420" w:type="dxa"/>
          </w:tcPr>
          <w:p w:rsidR="00410B49" w:rsidRPr="003931E5" w:rsidRDefault="00D81DFD" w:rsidP="00EA4813">
            <w:pPr>
              <w:contextualSpacing/>
              <w:rPr>
                <w:lang w:val="es-CR"/>
              </w:rPr>
            </w:pPr>
            <w:r w:rsidRPr="003931E5">
              <w:rPr>
                <w:szCs w:val="28"/>
                <w:lang w:val="es-CR" w:bidi="th-TH"/>
              </w:rPr>
              <w:t xml:space="preserve">Esta herramienta </w:t>
            </w:r>
            <w:r w:rsidR="00602C4B" w:rsidRPr="003931E5">
              <w:rPr>
                <w:szCs w:val="28"/>
                <w:lang w:val="es-CR" w:bidi="th-TH"/>
              </w:rPr>
              <w:t>es</w:t>
            </w:r>
            <w:r w:rsidRPr="003931E5">
              <w:rPr>
                <w:szCs w:val="28"/>
                <w:lang w:val="es-CR" w:bidi="th-TH"/>
              </w:rPr>
              <w:t xml:space="preserve"> de gran utilidad </w:t>
            </w:r>
            <w:r w:rsidR="00602C4B" w:rsidRPr="003931E5">
              <w:rPr>
                <w:szCs w:val="28"/>
                <w:lang w:val="es-CR" w:bidi="th-TH"/>
              </w:rPr>
              <w:t xml:space="preserve">para </w:t>
            </w:r>
            <w:r w:rsidR="00EA4813">
              <w:rPr>
                <w:szCs w:val="28"/>
                <w:lang w:val="es-CR" w:bidi="th-TH"/>
              </w:rPr>
              <w:t xml:space="preserve">la persona responsable del </w:t>
            </w:r>
            <w:r w:rsidRPr="003931E5">
              <w:rPr>
                <w:szCs w:val="28"/>
                <w:lang w:val="es-CR" w:bidi="th-TH"/>
              </w:rPr>
              <w:t>diseño del proyecto (</w:t>
            </w:r>
            <w:r w:rsidR="00EA4813">
              <w:rPr>
                <w:szCs w:val="28"/>
                <w:lang w:val="es-CR" w:bidi="th-TH"/>
              </w:rPr>
              <w:t>el/la c</w:t>
            </w:r>
            <w:r w:rsidRPr="003931E5">
              <w:rPr>
                <w:szCs w:val="28"/>
                <w:lang w:val="es-CR" w:bidi="th-TH"/>
              </w:rPr>
              <w:t>oordinad</w:t>
            </w:r>
            <w:r w:rsidR="00602C4B" w:rsidRPr="003931E5">
              <w:rPr>
                <w:szCs w:val="28"/>
                <w:lang w:val="es-CR" w:bidi="th-TH"/>
              </w:rPr>
              <w:t>or</w:t>
            </w:r>
            <w:r w:rsidR="00EA4813">
              <w:rPr>
                <w:szCs w:val="28"/>
                <w:lang w:val="es-CR" w:bidi="th-TH"/>
              </w:rPr>
              <w:t>(a) de su diseño)</w:t>
            </w:r>
            <w:r w:rsidR="00602C4B" w:rsidRPr="003931E5">
              <w:rPr>
                <w:szCs w:val="28"/>
                <w:lang w:val="es-CR" w:bidi="th-TH"/>
              </w:rPr>
              <w:t xml:space="preserve"> del Proyecto de Diseño)</w:t>
            </w:r>
            <w:r w:rsidR="00EA4813">
              <w:rPr>
                <w:szCs w:val="28"/>
                <w:lang w:val="es-CR" w:bidi="th-TH"/>
              </w:rPr>
              <w:t xml:space="preserve">, ya que le ayuda a velar por </w:t>
            </w:r>
            <w:r w:rsidRPr="003931E5">
              <w:rPr>
                <w:szCs w:val="28"/>
                <w:lang w:val="es-CR" w:bidi="th-TH"/>
              </w:rPr>
              <w:t>que</w:t>
            </w:r>
            <w:r w:rsidR="00602C4B" w:rsidRPr="003931E5">
              <w:rPr>
                <w:szCs w:val="28"/>
                <w:lang w:val="es-CR" w:bidi="th-TH"/>
              </w:rPr>
              <w:t xml:space="preserve"> se </w:t>
            </w:r>
            <w:r w:rsidR="00EA4813">
              <w:rPr>
                <w:szCs w:val="28"/>
                <w:lang w:val="es-CR" w:bidi="th-TH"/>
              </w:rPr>
              <w:t xml:space="preserve">utilice </w:t>
            </w:r>
            <w:r w:rsidRPr="003931E5">
              <w:rPr>
                <w:szCs w:val="28"/>
                <w:lang w:val="es-CR" w:bidi="th-TH"/>
              </w:rPr>
              <w:t xml:space="preserve">la terminología </w:t>
            </w:r>
            <w:r w:rsidR="00602C4B" w:rsidRPr="003931E5">
              <w:rPr>
                <w:szCs w:val="28"/>
                <w:lang w:val="es-CR" w:bidi="th-TH"/>
              </w:rPr>
              <w:t xml:space="preserve">más </w:t>
            </w:r>
            <w:r w:rsidRPr="003931E5">
              <w:rPr>
                <w:szCs w:val="28"/>
                <w:lang w:val="es-CR" w:bidi="th-TH"/>
              </w:rPr>
              <w:t xml:space="preserve">adecuada </w:t>
            </w:r>
            <w:r w:rsidR="00602C4B" w:rsidRPr="003931E5">
              <w:rPr>
                <w:szCs w:val="28"/>
                <w:lang w:val="es-CR" w:bidi="th-TH"/>
              </w:rPr>
              <w:t>para el donante</w:t>
            </w:r>
            <w:r w:rsidRPr="003931E5">
              <w:rPr>
                <w:szCs w:val="28"/>
                <w:lang w:val="es-CR" w:bidi="th-TH"/>
              </w:rPr>
              <w:t>.</w:t>
            </w:r>
          </w:p>
        </w:tc>
      </w:tr>
      <w:tr w:rsidR="00410B49" w:rsidRPr="003931E5" w:rsidTr="00EA4813">
        <w:tc>
          <w:tcPr>
            <w:tcW w:w="2250" w:type="dxa"/>
            <w:shd w:val="clear" w:color="auto" w:fill="404040" w:themeFill="text1" w:themeFillTint="BF"/>
            <w:vAlign w:val="center"/>
          </w:tcPr>
          <w:p w:rsidR="00410B49" w:rsidRPr="003931E5" w:rsidRDefault="00410B49" w:rsidP="003931E5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</w:pPr>
            <w:r w:rsidRPr="003931E5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  <w:t>Cu</w:t>
            </w:r>
            <w:r w:rsidR="003931E5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  <w:t>á</w:t>
            </w:r>
            <w:r w:rsidRPr="003931E5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  <w:t>ndo</w:t>
            </w:r>
          </w:p>
        </w:tc>
        <w:tc>
          <w:tcPr>
            <w:tcW w:w="12420" w:type="dxa"/>
          </w:tcPr>
          <w:p w:rsidR="00410B49" w:rsidRPr="003931E5" w:rsidRDefault="00D81DFD" w:rsidP="0033780C">
            <w:pPr>
              <w:rPr>
                <w:lang w:val="es-CR"/>
              </w:rPr>
            </w:pPr>
            <w:r w:rsidRPr="003931E5">
              <w:rPr>
                <w:lang w:val="es-CR"/>
              </w:rPr>
              <w:t xml:space="preserve">Esta herramienta es muy útil como referencia para recopilar toda la información pertinente </w:t>
            </w:r>
            <w:r w:rsidR="00EA4813">
              <w:rPr>
                <w:lang w:val="es-CR"/>
              </w:rPr>
              <w:t xml:space="preserve">para los materiales de monitoreo y evaluación para </w:t>
            </w:r>
            <w:r w:rsidRPr="003931E5">
              <w:rPr>
                <w:lang w:val="es-CR"/>
              </w:rPr>
              <w:t>la</w:t>
            </w:r>
            <w:r w:rsidR="00602C4B" w:rsidRPr="003931E5">
              <w:rPr>
                <w:lang w:val="es-CR"/>
              </w:rPr>
              <w:t xml:space="preserve"> </w:t>
            </w:r>
            <w:r w:rsidR="00EA4813">
              <w:rPr>
                <w:lang w:val="es-CR"/>
              </w:rPr>
              <w:t>r</w:t>
            </w:r>
            <w:r w:rsidR="00602C4B" w:rsidRPr="003931E5">
              <w:rPr>
                <w:lang w:val="es-CR"/>
              </w:rPr>
              <w:t xml:space="preserve">eunión </w:t>
            </w:r>
            <w:r w:rsidR="00EA4813">
              <w:rPr>
                <w:lang w:val="es-CR"/>
              </w:rPr>
              <w:t>i</w:t>
            </w:r>
            <w:r w:rsidR="00602C4B" w:rsidRPr="003931E5">
              <w:rPr>
                <w:lang w:val="es-CR"/>
              </w:rPr>
              <w:t xml:space="preserve">nicial para la </w:t>
            </w:r>
            <w:r w:rsidR="00EA4813">
              <w:rPr>
                <w:lang w:val="es-CR"/>
              </w:rPr>
              <w:t>p</w:t>
            </w:r>
            <w:r w:rsidR="00602C4B" w:rsidRPr="003931E5">
              <w:rPr>
                <w:lang w:val="es-CR"/>
              </w:rPr>
              <w:t>ropuesta</w:t>
            </w:r>
            <w:r w:rsidRPr="003931E5">
              <w:rPr>
                <w:lang w:val="es-CR"/>
              </w:rPr>
              <w:t xml:space="preserve">. Esto ayudará a todos </w:t>
            </w:r>
            <w:r w:rsidR="00EA4813">
              <w:rPr>
                <w:lang w:val="es-CR"/>
              </w:rPr>
              <w:t xml:space="preserve">los participantes </w:t>
            </w:r>
            <w:r w:rsidR="0010160E">
              <w:rPr>
                <w:lang w:val="es-CR"/>
              </w:rPr>
              <w:t xml:space="preserve">de </w:t>
            </w:r>
            <w:r w:rsidRPr="003931E5">
              <w:rPr>
                <w:lang w:val="es-CR"/>
              </w:rPr>
              <w:t xml:space="preserve">la reunión </w:t>
            </w:r>
            <w:r w:rsidR="00EA4813">
              <w:rPr>
                <w:lang w:val="es-CR"/>
              </w:rPr>
              <w:t xml:space="preserve">a determinar y saber </w:t>
            </w:r>
            <w:r w:rsidRPr="003931E5">
              <w:rPr>
                <w:lang w:val="es-CR"/>
              </w:rPr>
              <w:t xml:space="preserve">qué términos </w:t>
            </w:r>
            <w:r w:rsidR="00EA4813">
              <w:rPr>
                <w:lang w:val="es-CR"/>
              </w:rPr>
              <w:t xml:space="preserve">emplear. Se puede utilizar la herramienta </w:t>
            </w:r>
            <w:r w:rsidR="00602C4B" w:rsidRPr="003931E5">
              <w:rPr>
                <w:lang w:val="es-CR"/>
              </w:rPr>
              <w:t xml:space="preserve">como </w:t>
            </w:r>
            <w:r w:rsidRPr="003931E5">
              <w:rPr>
                <w:lang w:val="es-CR"/>
              </w:rPr>
              <w:t xml:space="preserve">referencia </w:t>
            </w:r>
            <w:r w:rsidR="00602C4B" w:rsidRPr="003931E5">
              <w:rPr>
                <w:lang w:val="es-CR"/>
              </w:rPr>
              <w:t>a lo largo del</w:t>
            </w:r>
            <w:r w:rsidRPr="003931E5">
              <w:rPr>
                <w:lang w:val="es-CR"/>
              </w:rPr>
              <w:t xml:space="preserve"> proceso de</w:t>
            </w:r>
            <w:r w:rsidR="00602C4B" w:rsidRPr="003931E5">
              <w:rPr>
                <w:lang w:val="es-CR"/>
              </w:rPr>
              <w:t>l</w:t>
            </w:r>
            <w:r w:rsidRPr="003931E5">
              <w:rPr>
                <w:lang w:val="es-CR"/>
              </w:rPr>
              <w:t xml:space="preserve"> dise</w:t>
            </w:r>
            <w:r w:rsidR="0033780C">
              <w:rPr>
                <w:lang w:val="es-CR"/>
              </w:rPr>
              <w:t>ño del proyecto para cerciorarse de</w:t>
            </w:r>
            <w:r w:rsidR="00602C4B" w:rsidRPr="003931E5">
              <w:rPr>
                <w:lang w:val="es-CR"/>
              </w:rPr>
              <w:t xml:space="preserve"> la</w:t>
            </w:r>
            <w:r w:rsidRPr="003931E5">
              <w:rPr>
                <w:lang w:val="es-CR"/>
              </w:rPr>
              <w:t xml:space="preserve"> precisión</w:t>
            </w:r>
            <w:r w:rsidR="00602C4B" w:rsidRPr="003931E5">
              <w:rPr>
                <w:lang w:val="es-CR"/>
              </w:rPr>
              <w:t xml:space="preserve"> de la terminología</w:t>
            </w:r>
            <w:r w:rsidRPr="003931E5">
              <w:rPr>
                <w:lang w:val="es-CR"/>
              </w:rPr>
              <w:t>.</w:t>
            </w:r>
          </w:p>
        </w:tc>
      </w:tr>
      <w:tr w:rsidR="00410B49" w:rsidRPr="003931E5" w:rsidTr="00EA4813">
        <w:trPr>
          <w:trHeight w:val="843"/>
        </w:trPr>
        <w:tc>
          <w:tcPr>
            <w:tcW w:w="2250" w:type="dxa"/>
            <w:shd w:val="clear" w:color="auto" w:fill="404040" w:themeFill="text1" w:themeFillTint="BF"/>
            <w:vAlign w:val="center"/>
          </w:tcPr>
          <w:p w:rsidR="00410B49" w:rsidRPr="003931E5" w:rsidRDefault="00410B49" w:rsidP="00EA4813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</w:pPr>
            <w:r w:rsidRPr="003931E5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  <w:t>Recomendaciones</w:t>
            </w:r>
          </w:p>
        </w:tc>
        <w:tc>
          <w:tcPr>
            <w:tcW w:w="12420" w:type="dxa"/>
          </w:tcPr>
          <w:p w:rsidR="00D81DFD" w:rsidRPr="003931E5" w:rsidRDefault="00D81DFD" w:rsidP="00D81DFD">
            <w:pPr>
              <w:pStyle w:val="ListParagraph"/>
              <w:numPr>
                <w:ilvl w:val="0"/>
                <w:numId w:val="15"/>
              </w:numPr>
              <w:ind w:left="342"/>
              <w:rPr>
                <w:szCs w:val="22"/>
                <w:lang w:val="es-CR" w:bidi="ar-SA"/>
              </w:rPr>
            </w:pPr>
            <w:r w:rsidRPr="003931E5">
              <w:rPr>
                <w:szCs w:val="22"/>
                <w:lang w:val="es-CR" w:bidi="ar-SA"/>
              </w:rPr>
              <w:t xml:space="preserve">Se recomienda que todo el personal de LWR </w:t>
            </w:r>
            <w:r w:rsidR="007C64CD">
              <w:rPr>
                <w:szCs w:val="22"/>
                <w:lang w:val="es-CR" w:bidi="ar-SA"/>
              </w:rPr>
              <w:t xml:space="preserve">que participa </w:t>
            </w:r>
            <w:r w:rsidRPr="003931E5">
              <w:rPr>
                <w:szCs w:val="22"/>
                <w:lang w:val="es-CR" w:bidi="ar-SA"/>
              </w:rPr>
              <w:t>en el diseño de u</w:t>
            </w:r>
            <w:r w:rsidR="006D3514" w:rsidRPr="003931E5">
              <w:rPr>
                <w:szCs w:val="22"/>
                <w:lang w:val="es-CR" w:bidi="ar-SA"/>
              </w:rPr>
              <w:t>n nuevo proyecto</w:t>
            </w:r>
            <w:r w:rsidR="007C64CD">
              <w:rPr>
                <w:szCs w:val="22"/>
                <w:lang w:val="es-CR" w:bidi="ar-SA"/>
              </w:rPr>
              <w:t xml:space="preserve"> que</w:t>
            </w:r>
            <w:r w:rsidR="006D3514" w:rsidRPr="003931E5">
              <w:rPr>
                <w:szCs w:val="22"/>
                <w:lang w:val="es-CR" w:bidi="ar-SA"/>
              </w:rPr>
              <w:t xml:space="preserve"> primero revisen la </w:t>
            </w:r>
            <w:r w:rsidR="007C64CD" w:rsidRPr="003931E5">
              <w:rPr>
                <w:szCs w:val="22"/>
                <w:u w:val="single"/>
                <w:lang w:val="es-CR" w:bidi="ar-SA"/>
              </w:rPr>
              <w:t>hoja de referencia para el marco lógico</w:t>
            </w:r>
            <w:r w:rsidR="007C64CD" w:rsidRPr="003931E5">
              <w:rPr>
                <w:szCs w:val="22"/>
                <w:lang w:val="es-CR" w:bidi="ar-SA"/>
              </w:rPr>
              <w:t xml:space="preserve"> </w:t>
            </w:r>
            <w:r w:rsidR="006D3514" w:rsidRPr="003931E5">
              <w:rPr>
                <w:szCs w:val="22"/>
                <w:lang w:val="es-CR" w:bidi="ar-SA"/>
              </w:rPr>
              <w:t xml:space="preserve">para </w:t>
            </w:r>
            <w:r w:rsidR="007C64CD">
              <w:rPr>
                <w:szCs w:val="22"/>
                <w:lang w:val="es-CR" w:bidi="ar-SA"/>
              </w:rPr>
              <w:t>que exista</w:t>
            </w:r>
            <w:r w:rsidRPr="003931E5">
              <w:rPr>
                <w:szCs w:val="22"/>
                <w:lang w:val="es-CR" w:bidi="ar-SA"/>
              </w:rPr>
              <w:t xml:space="preserve"> un entendimiento </w:t>
            </w:r>
            <w:r w:rsidR="007C64CD">
              <w:rPr>
                <w:szCs w:val="22"/>
                <w:lang w:val="es-CR" w:bidi="ar-SA"/>
              </w:rPr>
              <w:t xml:space="preserve">en </w:t>
            </w:r>
            <w:r w:rsidRPr="003931E5">
              <w:rPr>
                <w:szCs w:val="22"/>
                <w:lang w:val="es-CR" w:bidi="ar-SA"/>
              </w:rPr>
              <w:t xml:space="preserve">común de los términos </w:t>
            </w:r>
            <w:r w:rsidR="007C64CD">
              <w:rPr>
                <w:szCs w:val="22"/>
                <w:lang w:val="es-CR" w:bidi="ar-SA"/>
              </w:rPr>
              <w:t>que utiliza</w:t>
            </w:r>
            <w:r w:rsidRPr="003931E5">
              <w:rPr>
                <w:szCs w:val="22"/>
                <w:lang w:val="es-CR" w:bidi="ar-SA"/>
              </w:rPr>
              <w:t xml:space="preserve"> </w:t>
            </w:r>
            <w:r w:rsidR="006D3514" w:rsidRPr="003931E5">
              <w:rPr>
                <w:szCs w:val="22"/>
                <w:lang w:val="es-CR" w:bidi="ar-SA"/>
              </w:rPr>
              <w:t xml:space="preserve">LWR en el </w:t>
            </w:r>
            <w:r w:rsidR="007C64CD">
              <w:rPr>
                <w:szCs w:val="22"/>
                <w:u w:val="single"/>
                <w:lang w:val="es-CR" w:bidi="ar-SA"/>
              </w:rPr>
              <w:t>m</w:t>
            </w:r>
            <w:r w:rsidR="006D3514" w:rsidRPr="003931E5">
              <w:rPr>
                <w:szCs w:val="22"/>
                <w:u w:val="single"/>
                <w:lang w:val="es-CR" w:bidi="ar-SA"/>
              </w:rPr>
              <w:t xml:space="preserve">arco </w:t>
            </w:r>
            <w:r w:rsidR="007C64CD">
              <w:rPr>
                <w:szCs w:val="22"/>
                <w:u w:val="single"/>
                <w:lang w:val="es-CR" w:bidi="ar-SA"/>
              </w:rPr>
              <w:t>l</w:t>
            </w:r>
            <w:r w:rsidRPr="003931E5">
              <w:rPr>
                <w:szCs w:val="22"/>
                <w:u w:val="single"/>
                <w:lang w:val="es-CR" w:bidi="ar-SA"/>
              </w:rPr>
              <w:t>ógico</w:t>
            </w:r>
            <w:r w:rsidRPr="003931E5">
              <w:rPr>
                <w:szCs w:val="22"/>
                <w:lang w:val="es-CR" w:bidi="ar-SA"/>
              </w:rPr>
              <w:t>.</w:t>
            </w:r>
          </w:p>
          <w:p w:rsidR="00410B49" w:rsidRPr="003931E5" w:rsidRDefault="007C64CD" w:rsidP="007C64CD">
            <w:pPr>
              <w:pStyle w:val="ListParagraph"/>
              <w:numPr>
                <w:ilvl w:val="1"/>
                <w:numId w:val="15"/>
              </w:numPr>
              <w:ind w:left="972"/>
              <w:rPr>
                <w:szCs w:val="22"/>
                <w:lang w:val="es-CR" w:bidi="ar-SA"/>
              </w:rPr>
            </w:pPr>
            <w:r>
              <w:rPr>
                <w:szCs w:val="22"/>
                <w:lang w:val="es-CR" w:bidi="ar-SA"/>
              </w:rPr>
              <w:t>Se puede emplear e</w:t>
            </w:r>
            <w:r w:rsidR="00D81DFD" w:rsidRPr="003931E5">
              <w:rPr>
                <w:szCs w:val="22"/>
                <w:lang w:val="es-CR" w:bidi="ar-SA"/>
              </w:rPr>
              <w:t xml:space="preserve">l </w:t>
            </w:r>
            <w:r w:rsidRPr="007C64CD">
              <w:rPr>
                <w:szCs w:val="22"/>
                <w:u w:val="single"/>
                <w:lang w:val="es-CR" w:bidi="ar-SA"/>
              </w:rPr>
              <w:t>tr</w:t>
            </w:r>
            <w:r w:rsidR="006D3514" w:rsidRPr="003931E5">
              <w:rPr>
                <w:u w:val="single"/>
                <w:lang w:val="es-CR"/>
              </w:rPr>
              <w:t>aductor de</w:t>
            </w:r>
            <w:r>
              <w:rPr>
                <w:u w:val="single"/>
                <w:lang w:val="es-CR"/>
              </w:rPr>
              <w:t>l</w:t>
            </w:r>
            <w:r w:rsidR="006D3514" w:rsidRPr="003931E5">
              <w:rPr>
                <w:u w:val="single"/>
                <w:lang w:val="es-CR"/>
              </w:rPr>
              <w:t xml:space="preserve"> </w:t>
            </w:r>
            <w:r>
              <w:rPr>
                <w:u w:val="single"/>
                <w:lang w:val="es-CR"/>
              </w:rPr>
              <w:t>m</w:t>
            </w:r>
            <w:r w:rsidR="006D3514" w:rsidRPr="003931E5">
              <w:rPr>
                <w:u w:val="single"/>
                <w:lang w:val="es-CR"/>
              </w:rPr>
              <w:t xml:space="preserve">arco </w:t>
            </w:r>
            <w:r>
              <w:rPr>
                <w:u w:val="single"/>
                <w:lang w:val="es-CR"/>
              </w:rPr>
              <w:t>l</w:t>
            </w:r>
            <w:r w:rsidR="006D3514" w:rsidRPr="003931E5">
              <w:rPr>
                <w:u w:val="single"/>
                <w:lang w:val="es-CR"/>
              </w:rPr>
              <w:t>ógico</w:t>
            </w:r>
            <w:r w:rsidR="006D3514" w:rsidRPr="003931E5">
              <w:rPr>
                <w:lang w:val="es-CR"/>
              </w:rPr>
              <w:t xml:space="preserve"> </w:t>
            </w:r>
            <w:r w:rsidR="00D81DFD" w:rsidRPr="003931E5">
              <w:rPr>
                <w:szCs w:val="22"/>
                <w:lang w:val="es-CR" w:bidi="ar-SA"/>
              </w:rPr>
              <w:t xml:space="preserve">para comparar los términos </w:t>
            </w:r>
            <w:r>
              <w:rPr>
                <w:szCs w:val="22"/>
                <w:lang w:val="es-CR" w:bidi="ar-SA"/>
              </w:rPr>
              <w:t xml:space="preserve">que utilizan </w:t>
            </w:r>
            <w:r w:rsidR="006D3514" w:rsidRPr="003931E5">
              <w:rPr>
                <w:szCs w:val="22"/>
                <w:lang w:val="es-CR" w:bidi="ar-SA"/>
              </w:rPr>
              <w:t xml:space="preserve">los donantes y las agencias </w:t>
            </w:r>
            <w:r>
              <w:rPr>
                <w:szCs w:val="22"/>
                <w:lang w:val="es-CR" w:bidi="ar-SA"/>
              </w:rPr>
              <w:t>similares a LWR.</w:t>
            </w:r>
          </w:p>
        </w:tc>
      </w:tr>
      <w:tr w:rsidR="00410B49" w:rsidRPr="003931E5" w:rsidTr="00EA4813">
        <w:tc>
          <w:tcPr>
            <w:tcW w:w="2250" w:type="dxa"/>
            <w:shd w:val="clear" w:color="auto" w:fill="404040" w:themeFill="text1" w:themeFillTint="BF"/>
            <w:vAlign w:val="center"/>
          </w:tcPr>
          <w:p w:rsidR="00410B49" w:rsidRPr="003931E5" w:rsidRDefault="003931E5" w:rsidP="003931E5">
            <w:pPr>
              <w:rPr>
                <w:color w:val="FFFFFF" w:themeColor="background1"/>
                <w:sz w:val="24"/>
                <w:szCs w:val="24"/>
                <w:lang w:val="es-CR"/>
              </w:rPr>
            </w:pPr>
            <w: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CR"/>
              </w:rPr>
              <w:t>Consejos prácticos</w:t>
            </w:r>
          </w:p>
        </w:tc>
        <w:tc>
          <w:tcPr>
            <w:tcW w:w="12420" w:type="dxa"/>
          </w:tcPr>
          <w:p w:rsidR="00D81DFD" w:rsidRPr="003931E5" w:rsidRDefault="00D81DFD" w:rsidP="007C64CD">
            <w:pPr>
              <w:pStyle w:val="ListParagraph"/>
              <w:numPr>
                <w:ilvl w:val="0"/>
                <w:numId w:val="16"/>
              </w:numPr>
              <w:spacing w:before="120"/>
              <w:ind w:left="342"/>
              <w:rPr>
                <w:rFonts w:eastAsia="Times New Roman" w:cstheme="minorHAnsi"/>
                <w:color w:val="000000"/>
                <w:szCs w:val="22"/>
                <w:lang w:val="es-CR" w:bidi="ar-SA"/>
              </w:rPr>
            </w:pPr>
            <w:r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S</w:t>
            </w:r>
            <w:r w:rsidR="006D3514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i el personal de LWR identifica</w:t>
            </w:r>
            <w:r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 nuevos donantes, fundaciones </w:t>
            </w:r>
            <w:r w:rsidR="007C64CD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o agencias </w:t>
            </w:r>
            <w:r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que </w:t>
            </w:r>
            <w:r w:rsidR="007C64CD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se deben </w:t>
            </w:r>
            <w:r w:rsidR="006D3514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agregar</w:t>
            </w:r>
            <w:r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 a la ta</w:t>
            </w:r>
            <w:r w:rsidR="006D3514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bla, </w:t>
            </w:r>
            <w:r w:rsidR="007C64CD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comuníquese </w:t>
            </w:r>
            <w:r w:rsidR="006D3514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con la unidad de M&amp;E </w:t>
            </w:r>
            <w:r w:rsidR="007C64CD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de la sede central </w:t>
            </w:r>
            <w:r w:rsidR="006D3514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para su</w:t>
            </w:r>
            <w:r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 inclusión.</w:t>
            </w:r>
          </w:p>
          <w:p w:rsidR="00410B49" w:rsidRPr="003931E5" w:rsidRDefault="007C64CD" w:rsidP="007C64CD">
            <w:pPr>
              <w:pStyle w:val="ListParagraph"/>
              <w:numPr>
                <w:ilvl w:val="1"/>
                <w:numId w:val="16"/>
              </w:numPr>
              <w:spacing w:before="120"/>
              <w:ind w:left="972" w:hanging="342"/>
              <w:rPr>
                <w:rFonts w:eastAsia="Times New Roman" w:cstheme="minorHAnsi"/>
                <w:color w:val="000000"/>
                <w:szCs w:val="22"/>
                <w:lang w:val="es-CR" w:bidi="ar-SA"/>
              </w:rPr>
            </w:pPr>
            <w:r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También se puede seguir desarrollando e</w:t>
            </w:r>
            <w:r w:rsidR="00D81DFD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sta herramienta </w:t>
            </w:r>
            <w:r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en el ámbito regional, </w:t>
            </w:r>
            <w:r w:rsidR="00D81DFD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a fin de reflejar los principales donantes y fundaciones </w:t>
            </w:r>
            <w:r w:rsidR="006D3514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con los que</w:t>
            </w:r>
            <w:r w:rsidR="00D81DFD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 LWR tiene relaciones o subvenciones. El</w:t>
            </w:r>
            <w:r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/la</w:t>
            </w:r>
            <w:r w:rsidR="00D81DFD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g</w:t>
            </w:r>
            <w:r w:rsidR="00D81DFD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erente </w:t>
            </w:r>
            <w:r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r</w:t>
            </w:r>
            <w:r w:rsidR="00D81DFD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egional de </w:t>
            </w:r>
            <w:r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m</w:t>
            </w:r>
            <w:r w:rsidR="00D81DFD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onitoreo y </w:t>
            </w:r>
            <w:r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e</w:t>
            </w:r>
            <w:r w:rsidR="00D81DFD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valuación se encargará de la elaboración y </w:t>
            </w:r>
            <w:r>
              <w:rPr>
                <w:rFonts w:eastAsia="Times New Roman" w:cstheme="minorHAnsi"/>
                <w:color w:val="000000"/>
                <w:szCs w:val="22"/>
                <w:lang w:val="es-CR" w:bidi="ar-SA"/>
              </w:rPr>
              <w:t xml:space="preserve">la </w:t>
            </w:r>
            <w:r w:rsidR="00D81DFD" w:rsidRPr="003931E5">
              <w:rPr>
                <w:rFonts w:eastAsia="Times New Roman" w:cstheme="minorHAnsi"/>
                <w:color w:val="000000"/>
                <w:szCs w:val="22"/>
                <w:lang w:val="es-CR" w:bidi="ar-SA"/>
              </w:rPr>
              <w:t>actualización de esta versión.</w:t>
            </w:r>
          </w:p>
        </w:tc>
      </w:tr>
      <w:bookmarkEnd w:id="0"/>
    </w:tbl>
    <w:p w:rsidR="00DE2D49" w:rsidRPr="00D81DFD" w:rsidRDefault="00DE2D49">
      <w:pPr>
        <w:rPr>
          <w:lang w:val="es-ES"/>
        </w:rPr>
      </w:pPr>
    </w:p>
    <w:p w:rsidR="003143FF" w:rsidRPr="00D81DFD" w:rsidRDefault="003143FF">
      <w:pPr>
        <w:rPr>
          <w:lang w:val="es-ES"/>
        </w:rPr>
      </w:pPr>
      <w:r w:rsidRPr="00D81DFD">
        <w:rPr>
          <w:lang w:val="es-ES"/>
        </w:rPr>
        <w:br w:type="page"/>
      </w:r>
    </w:p>
    <w:tbl>
      <w:tblPr>
        <w:tblpPr w:leftFromText="180" w:rightFromText="180" w:vertAnchor="page" w:horzAnchor="margin" w:tblpY="1666"/>
        <w:tblW w:w="14760" w:type="dxa"/>
        <w:tblLook w:val="04A0"/>
      </w:tblPr>
      <w:tblGrid>
        <w:gridCol w:w="3708"/>
        <w:gridCol w:w="2222"/>
        <w:gridCol w:w="2014"/>
        <w:gridCol w:w="226"/>
        <w:gridCol w:w="1789"/>
        <w:gridCol w:w="1992"/>
        <w:gridCol w:w="1709"/>
        <w:gridCol w:w="1100"/>
      </w:tblGrid>
      <w:tr w:rsidR="008D2A65" w:rsidRPr="001B63C5" w:rsidTr="008D2A65">
        <w:trPr>
          <w:trHeight w:val="480"/>
        </w:trPr>
        <w:tc>
          <w:tcPr>
            <w:tcW w:w="14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8D2A65" w:rsidRPr="001B63C5" w:rsidRDefault="003931E5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CR" w:bidi="th-TH"/>
              </w:rPr>
              <w:lastRenderedPageBreak/>
              <w:t>Traductor maestro</w:t>
            </w:r>
            <w:r w:rsidR="008D2A65" w:rsidRPr="001B63C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CR" w:bidi="th-TH"/>
              </w:rPr>
              <w:t xml:space="preserve">: Comparación  de </w:t>
            </w:r>
            <w:r w:rsidRPr="001B63C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CR" w:bidi="th-TH"/>
              </w:rPr>
              <w:t>marcos lógicos para la planificación</w:t>
            </w:r>
            <w:r w:rsidR="008D2A65" w:rsidRPr="001B63C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CR" w:bidi="th-TH"/>
              </w:rPr>
              <w:t xml:space="preserve"> </w:t>
            </w:r>
          </w:p>
        </w:tc>
      </w:tr>
      <w:tr w:rsidR="008D2A65" w:rsidRPr="001B63C5" w:rsidTr="0045710D">
        <w:trPr>
          <w:trHeight w:val="615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 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A65" w:rsidRPr="001B63C5" w:rsidRDefault="003931E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Resultado general o a largo plazo</w:t>
            </w:r>
            <w:r w:rsidR="008D2A65"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 (impacto)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A65" w:rsidRPr="001B63C5" w:rsidRDefault="003931E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Resultado al final del proyecto</w:t>
            </w:r>
            <w:r w:rsidR="008D2A65"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A65" w:rsidRPr="001B63C5" w:rsidRDefault="008D2A65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Resultado intermedio 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Productos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Intervenciones </w:t>
            </w:r>
          </w:p>
        </w:tc>
      </w:tr>
      <w:tr w:rsidR="008D2A65" w:rsidRPr="001B63C5" w:rsidTr="0045710D">
        <w:trPr>
          <w:trHeight w:val="49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D2A65" w:rsidRPr="001B63C5" w:rsidRDefault="008D2A65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Lutheran World Relief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A65" w:rsidRPr="001B63C5" w:rsidRDefault="00842EE8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Propósito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Efectos directos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Productos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Actividades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 </w:t>
            </w:r>
          </w:p>
        </w:tc>
      </w:tr>
      <w:tr w:rsidR="0049007B" w:rsidRPr="001B63C5" w:rsidTr="0045710D">
        <w:trPr>
          <w:trHeight w:val="90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Agencia de los Estados Unidos para el Desarrollo Internacional (USAID)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Objetivo de la asistencia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Resultados Intermedios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Productos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(Actividades)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Insumos </w:t>
            </w:r>
          </w:p>
        </w:tc>
      </w:tr>
      <w:tr w:rsidR="0049007B" w:rsidRPr="001B63C5" w:rsidTr="0045710D">
        <w:trPr>
          <w:trHeight w:val="90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Agencia Australiana para el Desarrollo Internacional (AusAID)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Objetivo del programa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Objetivos principales de desarrollo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Productos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Actividades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Insumos</w:t>
            </w:r>
          </w:p>
        </w:tc>
      </w:tr>
      <w:tr w:rsidR="0049007B" w:rsidRPr="001B63C5" w:rsidTr="0045710D">
        <w:trPr>
          <w:trHeight w:val="30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Fundación Gates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Impacto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Resultado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Productos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Actividades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 </w:t>
            </w:r>
          </w:p>
        </w:tc>
      </w:tr>
      <w:tr w:rsidR="0049007B" w:rsidRPr="001B63C5" w:rsidTr="0045710D">
        <w:trPr>
          <w:trHeight w:val="60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Banco Mundial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Fin/Meta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Objetivo de desarrollo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Productos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Actividades de los componentes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Insumos</w:t>
            </w:r>
          </w:p>
        </w:tc>
      </w:tr>
      <w:tr w:rsidR="0049007B" w:rsidRPr="001B63C5" w:rsidTr="0045710D">
        <w:trPr>
          <w:trHeight w:val="60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Organización de las Naciones Unidas para la Alimentación y la Agricultura (FAO)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Impacto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1B63C5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lang w:val="es-CR" w:bidi="th-TH"/>
              </w:rPr>
              <w:t>Resultado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Propósito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Productos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Actividades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 </w:t>
            </w:r>
          </w:p>
        </w:tc>
      </w:tr>
      <w:tr w:rsidR="0049007B" w:rsidRPr="001B63C5" w:rsidTr="0045710D">
        <w:trPr>
          <w:trHeight w:val="60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10D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Programa de las Naciones Unidas </w:t>
            </w:r>
          </w:p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para el Desarrollo (PNUD)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Objetivo de desarrollo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Objetivos intermedios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Productos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Actividades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Insumos</w:t>
            </w:r>
          </w:p>
        </w:tc>
      </w:tr>
      <w:tr w:rsidR="0049007B" w:rsidRPr="001B63C5" w:rsidTr="0045710D">
        <w:trPr>
          <w:trHeight w:val="60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Banco Interamericano de Desarrollo (BID)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Fin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Propósitos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Componentes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Actividades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</w:p>
        </w:tc>
      </w:tr>
      <w:tr w:rsidR="0049007B" w:rsidRPr="001B63C5" w:rsidTr="0045710D">
        <w:trPr>
          <w:trHeight w:val="30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Banco Asiático de Desarrollo (ADB)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Objetivo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Propósito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Productos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07B" w:rsidRPr="001B63C5" w:rsidRDefault="0049007B" w:rsidP="00393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Insumos </w:t>
            </w:r>
          </w:p>
        </w:tc>
      </w:tr>
      <w:tr w:rsidR="0049007B" w:rsidRPr="001B63C5" w:rsidTr="0045710D">
        <w:trPr>
          <w:trHeight w:val="30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Unión Europea (UE/PADOR)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Objetivo general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1B63C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lang w:val="es-CR" w:bidi="th-TH"/>
              </w:rPr>
              <w:t>Objetivos específicos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Resultados esperados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Actividades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 </w:t>
            </w:r>
          </w:p>
        </w:tc>
      </w:tr>
      <w:tr w:rsidR="008D2A65" w:rsidRPr="001B63C5" w:rsidTr="0045710D">
        <w:trPr>
          <w:trHeight w:val="61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 xml:space="preserve">CARE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1B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Objetivo superior del </w:t>
            </w:r>
            <w:r w:rsidR="001B63C5"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pr</w:t>
            </w: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ograma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1B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Objetivo </w:t>
            </w:r>
            <w:r w:rsidR="001B63C5"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superior </w:t>
            </w: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del </w:t>
            </w:r>
            <w:r w:rsidR="001B63C5"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</w:t>
            </w: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royecto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Objetivos intermedios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Productos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Actividades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49007B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Insumos</w:t>
            </w:r>
          </w:p>
        </w:tc>
      </w:tr>
      <w:tr w:rsidR="0049007B" w:rsidRPr="001B63C5" w:rsidTr="0045710D">
        <w:trPr>
          <w:trHeight w:val="61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Mercy Corps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Propósito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5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</w:t>
            </w:r>
            <w:r w:rsidR="0045710D"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bjetivo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Resultados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Actividades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7B" w:rsidRPr="001B63C5" w:rsidRDefault="0049007B" w:rsidP="0049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 </w:t>
            </w:r>
          </w:p>
        </w:tc>
      </w:tr>
      <w:tr w:rsidR="008D2A65" w:rsidRPr="001B63C5" w:rsidTr="0045710D">
        <w:trPr>
          <w:trHeight w:val="47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bidi="th-TH"/>
              </w:rPr>
              <w:t>Catholic Relief Services (CRS)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Objetivo Superior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Objetivo estratégico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Resultados intermedios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Productos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 xml:space="preserve">Actividades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65" w:rsidRPr="001B63C5" w:rsidRDefault="008D2A65" w:rsidP="008D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</w:pPr>
            <w:r w:rsidRPr="001B63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bidi="th-TH"/>
              </w:rPr>
              <w:t> Aportes</w:t>
            </w:r>
          </w:p>
        </w:tc>
      </w:tr>
    </w:tbl>
    <w:p w:rsidR="00136725" w:rsidRPr="002F2D60" w:rsidRDefault="00136725" w:rsidP="003931E5">
      <w:pPr>
        <w:rPr>
          <w:sz w:val="20"/>
          <w:szCs w:val="20"/>
          <w:lang w:val="es-MX"/>
        </w:rPr>
      </w:pPr>
    </w:p>
    <w:sectPr w:rsidR="00136725" w:rsidRPr="002F2D60" w:rsidSect="00DE2D49">
      <w:headerReference w:type="default" r:id="rId8"/>
      <w:footerReference w:type="default" r:id="rId9"/>
      <w:pgSz w:w="15840" w:h="12240" w:orient="landscape"/>
      <w:pgMar w:top="540" w:right="540" w:bottom="540" w:left="540" w:header="547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75" w:rsidRDefault="00524475" w:rsidP="00B40785">
      <w:pPr>
        <w:spacing w:after="0" w:line="240" w:lineRule="auto"/>
      </w:pPr>
      <w:r>
        <w:separator/>
      </w:r>
    </w:p>
  </w:endnote>
  <w:endnote w:type="continuationSeparator" w:id="0">
    <w:p w:rsidR="00524475" w:rsidRDefault="00524475" w:rsidP="00B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CR"/>
      </w:rPr>
      <w:id w:val="-1298754487"/>
      <w:docPartObj>
        <w:docPartGallery w:val="Page Numbers (Bottom of Page)"/>
        <w:docPartUnique/>
      </w:docPartObj>
    </w:sdtPr>
    <w:sdtContent>
      <w:sdt>
        <w:sdtPr>
          <w:rPr>
            <w:lang w:val="es-CR"/>
          </w:rPr>
          <w:id w:val="860082579"/>
          <w:docPartObj>
            <w:docPartGallery w:val="Page Numbers (Top of Page)"/>
            <w:docPartUnique/>
          </w:docPartObj>
        </w:sdtPr>
        <w:sdtContent>
          <w:p w:rsidR="00EA4813" w:rsidRPr="003931E5" w:rsidRDefault="00EA4813">
            <w:pPr>
              <w:pStyle w:val="Footer"/>
              <w:jc w:val="right"/>
              <w:rPr>
                <w:lang w:val="es-CR"/>
              </w:rPr>
            </w:pPr>
            <w:r>
              <w:rPr>
                <w:lang w:val="es-CR"/>
              </w:rPr>
              <w:t>Página</w:t>
            </w:r>
            <w:r w:rsidRPr="003931E5">
              <w:rPr>
                <w:lang w:val="es-CR"/>
              </w:rPr>
              <w:t xml:space="preserve"> </w:t>
            </w:r>
            <w:r w:rsidR="000344BA" w:rsidRPr="003931E5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3931E5">
              <w:rPr>
                <w:b/>
                <w:bCs/>
                <w:lang w:val="es-CR"/>
              </w:rPr>
              <w:instrText xml:space="preserve"> PAGE </w:instrText>
            </w:r>
            <w:r w:rsidR="000344BA" w:rsidRPr="003931E5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D31514">
              <w:rPr>
                <w:b/>
                <w:bCs/>
                <w:noProof/>
                <w:lang w:val="es-CR"/>
              </w:rPr>
              <w:t>2</w:t>
            </w:r>
            <w:r w:rsidR="000344BA" w:rsidRPr="003931E5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3931E5">
              <w:rPr>
                <w:lang w:val="es-CR"/>
              </w:rPr>
              <w:t xml:space="preserve"> </w:t>
            </w:r>
            <w:r>
              <w:rPr>
                <w:lang w:val="es-CR"/>
              </w:rPr>
              <w:t>de</w:t>
            </w:r>
            <w:r w:rsidRPr="003931E5">
              <w:rPr>
                <w:lang w:val="es-CR"/>
              </w:rPr>
              <w:t xml:space="preserve"> </w:t>
            </w:r>
            <w:r w:rsidR="000344BA" w:rsidRPr="003931E5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3931E5">
              <w:rPr>
                <w:b/>
                <w:bCs/>
                <w:lang w:val="es-CR"/>
              </w:rPr>
              <w:instrText xml:space="preserve"> NUMPAGES  </w:instrText>
            </w:r>
            <w:r w:rsidR="000344BA" w:rsidRPr="003931E5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D31514">
              <w:rPr>
                <w:b/>
                <w:bCs/>
                <w:noProof/>
                <w:lang w:val="es-CR"/>
              </w:rPr>
              <w:t>2</w:t>
            </w:r>
            <w:r w:rsidR="000344BA" w:rsidRPr="003931E5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</w:p>
        </w:sdtContent>
      </w:sdt>
    </w:sdtContent>
  </w:sdt>
  <w:p w:rsidR="00EA4813" w:rsidRDefault="00EA4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75" w:rsidRDefault="00524475" w:rsidP="00B40785">
      <w:pPr>
        <w:spacing w:after="0" w:line="240" w:lineRule="auto"/>
      </w:pPr>
      <w:r>
        <w:separator/>
      </w:r>
    </w:p>
  </w:footnote>
  <w:footnote w:type="continuationSeparator" w:id="0">
    <w:p w:rsidR="00524475" w:rsidRDefault="00524475" w:rsidP="00B4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13" w:rsidRDefault="000344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486.05pt;margin-top:.55pt;width:236.25pt;height:30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" filled="f" stroked="f" strokeweight=".5pt">
          <v:textbox>
            <w:txbxContent>
              <w:p w:rsidR="00EA4813" w:rsidRPr="008D2A65" w:rsidRDefault="00EA4813" w:rsidP="004E212A">
                <w:pPr>
                  <w:jc w:val="right"/>
                  <w:rPr>
                    <w:rFonts w:ascii="Franklin Gothic Medium Cond" w:hAnsi="Franklin Gothic Medium Cond"/>
                    <w:color w:val="404040" w:themeColor="text1" w:themeTint="BF"/>
                    <w:sz w:val="40"/>
                    <w:szCs w:val="40"/>
                    <w:lang w:val="es-MX"/>
                  </w:rPr>
                </w:pPr>
                <w:r>
                  <w:rPr>
                    <w:rFonts w:ascii="Franklin Gothic Medium Cond" w:hAnsi="Franklin Gothic Medium Cond"/>
                    <w:color w:val="404040" w:themeColor="text1" w:themeTint="BF"/>
                    <w:sz w:val="40"/>
                    <w:szCs w:val="40"/>
                    <w:lang w:val="es-MX"/>
                  </w:rPr>
                  <w:t>HERRAMIENTA</w:t>
                </w:r>
              </w:p>
            </w:txbxContent>
          </v:textbox>
        </v:shape>
      </w:pict>
    </w:r>
    <w:r>
      <w:rPr>
        <w:noProof/>
      </w:rPr>
      <w:pict>
        <v:shape id="Text Box 5" o:spid="_x0000_s6145" type="#_x0000_t202" style="position:absolute;margin-left:352.1pt;margin-top:28.55pt;width:370.95pt;height:2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" filled="f" stroked="f">
          <v:textbox>
            <w:txbxContent>
              <w:p w:rsidR="00EA4813" w:rsidRPr="008D2A65" w:rsidRDefault="00EA4813" w:rsidP="004E212A">
                <w:pPr>
                  <w:autoSpaceDE w:val="0"/>
                  <w:autoSpaceDN w:val="0"/>
                  <w:adjustRightInd w:val="0"/>
                  <w:spacing w:after="0" w:line="288" w:lineRule="auto"/>
                  <w:jc w:val="right"/>
                  <w:textAlignment w:val="center"/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szCs w:val="28"/>
                    <w:u w:val="single"/>
                    <w:lang w:val="es-PE"/>
                  </w:rPr>
                </w:pPr>
                <w:r w:rsidRPr="008D2A65"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szCs w:val="28"/>
                    <w:u w:val="single"/>
                    <w:lang w:val="es-PE"/>
                  </w:rPr>
                  <w:t xml:space="preserve">Traductor del </w:t>
                </w:r>
                <w:r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szCs w:val="28"/>
                    <w:u w:val="single"/>
                    <w:lang w:val="es-PE"/>
                  </w:rPr>
                  <w:t>m</w:t>
                </w:r>
                <w:r w:rsidRPr="008D2A65"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szCs w:val="28"/>
                    <w:u w:val="single"/>
                    <w:lang w:val="es-PE"/>
                  </w:rPr>
                  <w:t xml:space="preserve">arco </w:t>
                </w:r>
                <w:r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szCs w:val="28"/>
                    <w:u w:val="single"/>
                    <w:lang w:val="es-PE"/>
                  </w:rPr>
                  <w:t>l</w:t>
                </w:r>
                <w:r w:rsidRPr="008D2A65"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szCs w:val="28"/>
                    <w:u w:val="single"/>
                    <w:lang w:val="es-PE"/>
                  </w:rPr>
                  <w:t>ógico</w:t>
                </w:r>
              </w:p>
              <w:p w:rsidR="00EA4813" w:rsidRPr="002E38BC" w:rsidRDefault="00EA4813" w:rsidP="004E212A">
                <w:pPr>
                  <w:spacing w:after="0" w:line="240" w:lineRule="auto"/>
                  <w:jc w:val="right"/>
                  <w:rPr>
                    <w:rFonts w:ascii="Franklin Gothic Demi Cond" w:hAnsi="Franklin Gothic Demi Cond"/>
                    <w:b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EA4813">
      <w:rPr>
        <w:noProof/>
      </w:rPr>
      <w:drawing>
        <wp:inline distT="0" distB="0" distL="0" distR="0">
          <wp:extent cx="93059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9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94C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65759"/>
    <w:multiLevelType w:val="hybridMultilevel"/>
    <w:tmpl w:val="137E3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2BF0"/>
    <w:multiLevelType w:val="hybridMultilevel"/>
    <w:tmpl w:val="C0C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541A"/>
    <w:multiLevelType w:val="hybridMultilevel"/>
    <w:tmpl w:val="1DC2128A"/>
    <w:lvl w:ilvl="0" w:tplc="B02E4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2424C"/>
    <w:multiLevelType w:val="hybridMultilevel"/>
    <w:tmpl w:val="65A01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2CE2"/>
    <w:multiLevelType w:val="hybridMultilevel"/>
    <w:tmpl w:val="27E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FC9"/>
    <w:multiLevelType w:val="hybridMultilevel"/>
    <w:tmpl w:val="1D2A3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C0119"/>
    <w:multiLevelType w:val="hybridMultilevel"/>
    <w:tmpl w:val="B7BE6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32C03"/>
    <w:multiLevelType w:val="hybridMultilevel"/>
    <w:tmpl w:val="4C2E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56B"/>
    <w:multiLevelType w:val="hybridMultilevel"/>
    <w:tmpl w:val="460A5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447AC"/>
    <w:multiLevelType w:val="hybridMultilevel"/>
    <w:tmpl w:val="9C422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835E0"/>
    <w:multiLevelType w:val="hybridMultilevel"/>
    <w:tmpl w:val="00563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F0453"/>
    <w:multiLevelType w:val="hybridMultilevel"/>
    <w:tmpl w:val="FE62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F28AF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B0E9A"/>
    <w:multiLevelType w:val="hybridMultilevel"/>
    <w:tmpl w:val="975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C3B"/>
    <w:multiLevelType w:val="hybridMultilevel"/>
    <w:tmpl w:val="0F10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863F7"/>
    <w:multiLevelType w:val="hybridMultilevel"/>
    <w:tmpl w:val="7F5C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16D0A"/>
    <w:multiLevelType w:val="hybridMultilevel"/>
    <w:tmpl w:val="F2D4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F42F8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18"/>
  </w:num>
  <w:num w:numId="8">
    <w:abstractNumId w:val="16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1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E35FD"/>
    <w:rsid w:val="00001B26"/>
    <w:rsid w:val="00032FAD"/>
    <w:rsid w:val="000344BA"/>
    <w:rsid w:val="00041B12"/>
    <w:rsid w:val="00077FFA"/>
    <w:rsid w:val="000873CD"/>
    <w:rsid w:val="000C3E94"/>
    <w:rsid w:val="0010160E"/>
    <w:rsid w:val="001173AE"/>
    <w:rsid w:val="00136725"/>
    <w:rsid w:val="001618FD"/>
    <w:rsid w:val="001B63C5"/>
    <w:rsid w:val="001E1E58"/>
    <w:rsid w:val="00232C4D"/>
    <w:rsid w:val="00253884"/>
    <w:rsid w:val="00260822"/>
    <w:rsid w:val="002B079E"/>
    <w:rsid w:val="002F2D60"/>
    <w:rsid w:val="003143FF"/>
    <w:rsid w:val="0033780C"/>
    <w:rsid w:val="00370B31"/>
    <w:rsid w:val="003931E5"/>
    <w:rsid w:val="00405C74"/>
    <w:rsid w:val="00410B49"/>
    <w:rsid w:val="0045710D"/>
    <w:rsid w:val="0049007B"/>
    <w:rsid w:val="004B732C"/>
    <w:rsid w:val="004E212A"/>
    <w:rsid w:val="00522876"/>
    <w:rsid w:val="00524475"/>
    <w:rsid w:val="00540C85"/>
    <w:rsid w:val="005609CE"/>
    <w:rsid w:val="00602C4B"/>
    <w:rsid w:val="006857D7"/>
    <w:rsid w:val="006B5D14"/>
    <w:rsid w:val="006B6C95"/>
    <w:rsid w:val="006D3514"/>
    <w:rsid w:val="00763BF8"/>
    <w:rsid w:val="007B2903"/>
    <w:rsid w:val="007C64CD"/>
    <w:rsid w:val="007D0081"/>
    <w:rsid w:val="007E260D"/>
    <w:rsid w:val="0081500D"/>
    <w:rsid w:val="00842EE8"/>
    <w:rsid w:val="008A5C75"/>
    <w:rsid w:val="008C000C"/>
    <w:rsid w:val="008C180E"/>
    <w:rsid w:val="008D2A65"/>
    <w:rsid w:val="008E4248"/>
    <w:rsid w:val="008F0052"/>
    <w:rsid w:val="00913CF9"/>
    <w:rsid w:val="009815E7"/>
    <w:rsid w:val="009A77CB"/>
    <w:rsid w:val="009C516F"/>
    <w:rsid w:val="009C617C"/>
    <w:rsid w:val="009E4EFD"/>
    <w:rsid w:val="00A04BF1"/>
    <w:rsid w:val="00A26E3C"/>
    <w:rsid w:val="00A6053B"/>
    <w:rsid w:val="00A83EBC"/>
    <w:rsid w:val="00AB2064"/>
    <w:rsid w:val="00AE10D5"/>
    <w:rsid w:val="00B240C3"/>
    <w:rsid w:val="00B40785"/>
    <w:rsid w:val="00B418FF"/>
    <w:rsid w:val="00B72766"/>
    <w:rsid w:val="00BA1B97"/>
    <w:rsid w:val="00CA3622"/>
    <w:rsid w:val="00CE1A81"/>
    <w:rsid w:val="00CE35FD"/>
    <w:rsid w:val="00D31514"/>
    <w:rsid w:val="00D81DFD"/>
    <w:rsid w:val="00DE2D49"/>
    <w:rsid w:val="00DE4175"/>
    <w:rsid w:val="00E167C3"/>
    <w:rsid w:val="00E746BF"/>
    <w:rsid w:val="00E84FF1"/>
    <w:rsid w:val="00E97066"/>
    <w:rsid w:val="00EA4813"/>
    <w:rsid w:val="00F10B8B"/>
    <w:rsid w:val="00F52ABE"/>
    <w:rsid w:val="00F8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85"/>
  </w:style>
  <w:style w:type="paragraph" w:styleId="Footer">
    <w:name w:val="footer"/>
    <w:basedOn w:val="Normal"/>
    <w:link w:val="Foot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85"/>
  </w:style>
  <w:style w:type="paragraph" w:styleId="BalloonText">
    <w:name w:val="Balloon Text"/>
    <w:basedOn w:val="Normal"/>
    <w:link w:val="BalloonTextCh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FootnoteTextChar">
    <w:name w:val="Footnote Text Char"/>
    <w:basedOn w:val="DefaultParagraphFont"/>
    <w:link w:val="FootnoteText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FootnoteReference">
    <w:name w:val="footnote reference"/>
    <w:rsid w:val="008F00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20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0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0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D6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B63C5"/>
    <w:pPr>
      <w:numPr>
        <w:numId w:val="1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85"/>
  </w:style>
  <w:style w:type="paragraph" w:styleId="Footer">
    <w:name w:val="footer"/>
    <w:basedOn w:val="Normal"/>
    <w:link w:val="Foot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85"/>
  </w:style>
  <w:style w:type="paragraph" w:styleId="BalloonText">
    <w:name w:val="Balloon Text"/>
    <w:basedOn w:val="Normal"/>
    <w:link w:val="BalloonTextCh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FootnoteTextChar">
    <w:name w:val="Footnote Text Char"/>
    <w:basedOn w:val="DefaultParagraphFont"/>
    <w:link w:val="FootnoteText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FootnoteReference">
    <w:name w:val="footnote reference"/>
    <w:rsid w:val="008F00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20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0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0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5B2C-5327-4FDA-98AB-2527B1F1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3671</Characters>
  <Application>Microsoft Office Word</Application>
  <DocSecurity>0</DocSecurity>
  <Lines>91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Roberto</cp:lastModifiedBy>
  <cp:revision>3</cp:revision>
  <cp:lastPrinted>2012-12-05T20:38:00Z</cp:lastPrinted>
  <dcterms:created xsi:type="dcterms:W3CDTF">2013-03-30T22:53:00Z</dcterms:created>
  <dcterms:modified xsi:type="dcterms:W3CDTF">2013-04-08T07:32:00Z</dcterms:modified>
</cp:coreProperties>
</file>