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50"/>
        <w:gridCol w:w="12420"/>
      </w:tblGrid>
      <w:tr w:rsidR="00B85AC4" w:rsidRPr="00712CAC" w:rsidTr="00B85AC4">
        <w:tc>
          <w:tcPr>
            <w:tcW w:w="14670" w:type="dxa"/>
            <w:gridSpan w:val="2"/>
            <w:shd w:val="clear" w:color="auto" w:fill="A6CE39"/>
          </w:tcPr>
          <w:p w:rsidR="00B85AC4" w:rsidRPr="00712CAC" w:rsidRDefault="00B85AC4" w:rsidP="00B85AC4">
            <w:pPr>
              <w:spacing w:after="0" w:line="240" w:lineRule="auto"/>
              <w:jc w:val="center"/>
            </w:pPr>
            <w:r>
              <w:rPr>
                <w:b/>
                <w:sz w:val="28"/>
              </w:rPr>
              <w:t>RÉSUMÉ DE L'OUTIL : PLAN D'UTILISATION DE L'ÉVALUATION</w:t>
            </w:r>
          </w:p>
        </w:tc>
      </w:tr>
      <w:tr w:rsidR="00B85AC4" w:rsidRPr="00712CAC" w:rsidTr="00B85AC4">
        <w:tc>
          <w:tcPr>
            <w:tcW w:w="2250" w:type="dxa"/>
            <w:shd w:val="clear" w:color="auto" w:fill="404040"/>
          </w:tcPr>
          <w:p w:rsidR="00B85AC4" w:rsidRPr="00712CAC" w:rsidRDefault="00B85AC4" w:rsidP="00B85AC4">
            <w:pPr>
              <w:spacing w:after="0" w:line="240" w:lineRule="auto"/>
            </w:pPr>
            <w:bookmarkStart w:id="0" w:name="OLE_LINK1"/>
            <w:r>
              <w:rPr>
                <w:rFonts w:ascii="Franklin Gothic Demi" w:hAnsi="Franklin Gothic Demi"/>
                <w:color w:val="FFFFFF"/>
              </w:rPr>
              <w:t>Objet</w:t>
            </w:r>
          </w:p>
        </w:tc>
        <w:tc>
          <w:tcPr>
            <w:tcW w:w="12420" w:type="dxa"/>
            <w:shd w:val="clear" w:color="auto" w:fill="auto"/>
          </w:tcPr>
          <w:p w:rsidR="00B85AC4" w:rsidRPr="00712CAC" w:rsidRDefault="00B85AC4" w:rsidP="00B85AC4">
            <w:pPr>
              <w:spacing w:after="0" w:line="240" w:lineRule="auto"/>
            </w:pPr>
            <w:r>
              <w:t>Ce plan vise à identifier l'ensemble des parties prenantes qui utiliseront les résultats de l'évaluation, comment elles les utiliseront, comment ils seront présentés et quand l'équipe de l'évaluation ou du projet doi</w:t>
            </w:r>
            <w:r w:rsidR="00EE5FBB">
              <w:t>ven</w:t>
            </w:r>
            <w:r>
              <w:t xml:space="preserve">t répondre à ces besoins.  </w:t>
            </w:r>
          </w:p>
        </w:tc>
      </w:tr>
      <w:tr w:rsidR="00B85AC4" w:rsidRPr="00712CAC" w:rsidTr="00B85AC4">
        <w:tc>
          <w:tcPr>
            <w:tcW w:w="2250" w:type="dxa"/>
            <w:shd w:val="clear" w:color="auto" w:fill="404040"/>
          </w:tcPr>
          <w:p w:rsidR="00B85AC4" w:rsidRPr="00712CAC" w:rsidRDefault="00B85AC4" w:rsidP="00B85AC4">
            <w:pPr>
              <w:spacing w:after="0" w:line="240" w:lineRule="auto"/>
            </w:pPr>
            <w:r>
              <w:rPr>
                <w:rFonts w:ascii="Franklin Gothic Demi" w:hAnsi="Franklin Gothic Demi"/>
                <w:color w:val="FFFFFF"/>
              </w:rPr>
              <w:t>Sources d'information</w:t>
            </w:r>
          </w:p>
        </w:tc>
        <w:tc>
          <w:tcPr>
            <w:tcW w:w="12420" w:type="dxa"/>
            <w:shd w:val="clear" w:color="auto" w:fill="auto"/>
          </w:tcPr>
          <w:p w:rsidR="00B85AC4" w:rsidRPr="00712CAC" w:rsidRDefault="00B85AC4" w:rsidP="00B85AC4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342"/>
              <w:rPr>
                <w:bCs/>
                <w:szCs w:val="22"/>
                <w:u w:val="single"/>
              </w:rPr>
            </w:pPr>
            <w:r>
              <w:rPr>
                <w:u w:val="single"/>
              </w:rPr>
              <w:t>Matrice du plan de S&amp;E</w:t>
            </w:r>
          </w:p>
          <w:p w:rsidR="00B85AC4" w:rsidRPr="00712CAC" w:rsidRDefault="00B85AC4" w:rsidP="00B85AC4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ind w:left="342"/>
              <w:rPr>
                <w:bCs/>
                <w:szCs w:val="22"/>
                <w:u w:val="single"/>
              </w:rPr>
            </w:pPr>
            <w:r>
              <w:rPr>
                <w:u w:val="single"/>
              </w:rPr>
              <w:t>Mandat de l'évaluation</w:t>
            </w:r>
          </w:p>
        </w:tc>
      </w:tr>
      <w:tr w:rsidR="00B85AC4" w:rsidRPr="00712CAC" w:rsidTr="00B85AC4">
        <w:tc>
          <w:tcPr>
            <w:tcW w:w="2250" w:type="dxa"/>
            <w:shd w:val="clear" w:color="auto" w:fill="404040"/>
          </w:tcPr>
          <w:p w:rsidR="00B85AC4" w:rsidRPr="00712CAC" w:rsidRDefault="00B85AC4" w:rsidP="00B85AC4">
            <w:pPr>
              <w:spacing w:after="0" w:line="240" w:lineRule="auto"/>
              <w:rPr>
                <w:rFonts w:ascii="Franklin Gothic Demi" w:hAnsi="Franklin Gothic Demi"/>
                <w:color w:val="FFFFFF"/>
              </w:rPr>
            </w:pPr>
            <w:r>
              <w:br w:type="page"/>
            </w:r>
            <w:r>
              <w:rPr>
                <w:rFonts w:ascii="Franklin Gothic Demi" w:hAnsi="Franklin Gothic Demi"/>
                <w:color w:val="FFFFFF"/>
              </w:rPr>
              <w:t>Qui</w:t>
            </w:r>
          </w:p>
        </w:tc>
        <w:tc>
          <w:tcPr>
            <w:tcW w:w="12420" w:type="dxa"/>
            <w:shd w:val="clear" w:color="auto" w:fill="auto"/>
          </w:tcPr>
          <w:p w:rsidR="00B85AC4" w:rsidRPr="00712CAC" w:rsidRDefault="00B85AC4" w:rsidP="00B85AC4">
            <w:pPr>
              <w:spacing w:after="0" w:line="240" w:lineRule="auto"/>
            </w:pPr>
            <w:r>
              <w:t>Le responsable de l'évaluation et le consultant de l'évaluation doivent travailler ensemble pour réaliser ce plan.</w:t>
            </w:r>
          </w:p>
        </w:tc>
      </w:tr>
      <w:tr w:rsidR="00B85AC4" w:rsidRPr="00712CAC" w:rsidTr="00B85AC4">
        <w:tc>
          <w:tcPr>
            <w:tcW w:w="2250" w:type="dxa"/>
            <w:shd w:val="clear" w:color="auto" w:fill="404040"/>
          </w:tcPr>
          <w:p w:rsidR="00B85AC4" w:rsidRPr="00712CAC" w:rsidRDefault="00B85AC4" w:rsidP="00B85AC4">
            <w:pPr>
              <w:spacing w:after="0" w:line="240" w:lineRule="auto"/>
              <w:rPr>
                <w:rFonts w:ascii="Franklin Gothic Demi" w:hAnsi="Franklin Gothic Demi"/>
                <w:color w:val="FFFFFF"/>
              </w:rPr>
            </w:pPr>
            <w:r>
              <w:rPr>
                <w:rFonts w:ascii="Franklin Gothic Demi" w:hAnsi="Franklin Gothic Demi"/>
                <w:color w:val="FFFFFF"/>
              </w:rPr>
              <w:t>Quand</w:t>
            </w:r>
          </w:p>
        </w:tc>
        <w:tc>
          <w:tcPr>
            <w:tcW w:w="12420" w:type="dxa"/>
            <w:shd w:val="clear" w:color="auto" w:fill="auto"/>
          </w:tcPr>
          <w:p w:rsidR="00B85AC4" w:rsidRPr="00712CAC" w:rsidRDefault="00B85AC4" w:rsidP="00B85AC4">
            <w:pPr>
              <w:spacing w:after="0" w:line="240" w:lineRule="auto"/>
            </w:pPr>
            <w:r>
              <w:t xml:space="preserve">Le plan doit être mis au point avant de finaliser le </w:t>
            </w:r>
            <w:r>
              <w:rPr>
                <w:u w:val="single"/>
              </w:rPr>
              <w:t>Mandat de l'évaluation</w:t>
            </w:r>
            <w:r>
              <w:t xml:space="preserve"> et finalisé avec l'évaluateur sélectionné avant que le travail d'évaluation ne débute.  </w:t>
            </w:r>
          </w:p>
          <w:p w:rsidR="00B85AC4" w:rsidRPr="00712CAC" w:rsidRDefault="00B85AC4" w:rsidP="00B85AC4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</w:pPr>
            <w:r>
              <w:t xml:space="preserve">Il doit faire partie du Plan de travail de l'évaluation, ce qui contribuera à garantir que l'évaluateur sait quelles sont ses responsabilités en matière de diffusion des conclusions du rapport d'évaluation avant la fin de l'évaluation. </w:t>
            </w:r>
          </w:p>
        </w:tc>
      </w:tr>
      <w:tr w:rsidR="00B85AC4" w:rsidRPr="00712CAC" w:rsidTr="00B85AC4">
        <w:tc>
          <w:tcPr>
            <w:tcW w:w="2250" w:type="dxa"/>
            <w:shd w:val="clear" w:color="auto" w:fill="404040"/>
          </w:tcPr>
          <w:p w:rsidR="00B85AC4" w:rsidRPr="00712CAC" w:rsidRDefault="00B85AC4" w:rsidP="00B85AC4">
            <w:pPr>
              <w:spacing w:after="0" w:line="240" w:lineRule="auto"/>
              <w:rPr>
                <w:rFonts w:ascii="Franklin Gothic Demi" w:hAnsi="Franklin Gothic Demi"/>
                <w:color w:val="FFFFFF"/>
              </w:rPr>
            </w:pPr>
            <w:r>
              <w:rPr>
                <w:rFonts w:ascii="Franklin Gothic Demi" w:hAnsi="Franklin Gothic Demi"/>
                <w:color w:val="FFFFFF"/>
              </w:rPr>
              <w:t>Recommandations</w:t>
            </w:r>
          </w:p>
        </w:tc>
        <w:tc>
          <w:tcPr>
            <w:tcW w:w="12420" w:type="dxa"/>
            <w:shd w:val="clear" w:color="auto" w:fill="auto"/>
          </w:tcPr>
          <w:p w:rsidR="00B85AC4" w:rsidRPr="00712CAC" w:rsidRDefault="00B85AC4" w:rsidP="00B85AC4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ind w:left="321"/>
              <w:rPr>
                <w:szCs w:val="22"/>
              </w:rPr>
            </w:pPr>
            <w:r>
              <w:t xml:space="preserve">Il est recommandé que toutes les évaluations élaborent un </w:t>
            </w:r>
            <w:r>
              <w:rPr>
                <w:u w:val="single"/>
              </w:rPr>
              <w:t>Plan d'utilisation de l'évaluation</w:t>
            </w:r>
          </w:p>
        </w:tc>
      </w:tr>
      <w:tr w:rsidR="00B85AC4" w:rsidRPr="00712CAC" w:rsidTr="00B85AC4">
        <w:tc>
          <w:tcPr>
            <w:tcW w:w="2250" w:type="dxa"/>
            <w:shd w:val="clear" w:color="auto" w:fill="404040"/>
          </w:tcPr>
          <w:p w:rsidR="00B85AC4" w:rsidRPr="00712CAC" w:rsidRDefault="00B85AC4" w:rsidP="00B85AC4">
            <w:pPr>
              <w:spacing w:after="0" w:line="240" w:lineRule="auto"/>
              <w:rPr>
                <w:rFonts w:ascii="Franklin Gothic Demi" w:hAnsi="Franklin Gothic Demi"/>
                <w:color w:val="FFFFFF"/>
              </w:rPr>
            </w:pPr>
            <w:r>
              <w:rPr>
                <w:rFonts w:ascii="Franklin Gothic Demi" w:hAnsi="Franklin Gothic Demi"/>
                <w:color w:val="FFFFFF"/>
              </w:rPr>
              <w:t>Conseils</w:t>
            </w:r>
          </w:p>
        </w:tc>
        <w:tc>
          <w:tcPr>
            <w:tcW w:w="12420" w:type="dxa"/>
            <w:shd w:val="clear" w:color="auto" w:fill="auto"/>
          </w:tcPr>
          <w:p w:rsidR="00B85AC4" w:rsidRPr="00712CAC" w:rsidRDefault="00B85AC4" w:rsidP="00B85AC4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ind w:left="342"/>
              <w:rPr>
                <w:szCs w:val="22"/>
              </w:rPr>
            </w:pPr>
            <w:r>
              <w:t>Les principales parties prenantes pour cette matrice doivent être les mêmes ou être similaires à celles identifiées durant la conception du projet en prenant en considération la participation des parties prenantes à la planification de l'évaluation.</w:t>
            </w:r>
          </w:p>
          <w:p w:rsidR="00B85AC4" w:rsidRPr="00712CAC" w:rsidRDefault="00B85AC4" w:rsidP="00B85AC4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ind w:left="342"/>
              <w:rPr>
                <w:szCs w:val="22"/>
              </w:rPr>
            </w:pPr>
            <w:r>
              <w:t xml:space="preserve">En développant et complétant cette matrice, il est très important de définir un calendrier correspondant qui prenne en compte : </w:t>
            </w:r>
          </w:p>
          <w:p w:rsidR="00B85AC4" w:rsidRPr="00712CAC" w:rsidRDefault="00B85AC4" w:rsidP="00B85AC4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szCs w:val="22"/>
              </w:rPr>
            </w:pPr>
            <w:r>
              <w:t xml:space="preserve">Les principaux forums/événements ou prises de décisions à venir qui doivent informer les résultats de l'évaluation. </w:t>
            </w:r>
          </w:p>
          <w:p w:rsidR="00B85AC4" w:rsidRPr="00712CAC" w:rsidRDefault="00B85AC4" w:rsidP="00B85AC4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szCs w:val="22"/>
              </w:rPr>
            </w:pPr>
            <w:r>
              <w:t>Temps disponible pour que l'unité/le bureau de pays développe/gère le développement des produits de l'évaluation compte tenu des autres échéances/responsabilités.</w:t>
            </w:r>
          </w:p>
        </w:tc>
      </w:tr>
      <w:bookmarkEnd w:id="0"/>
    </w:tbl>
    <w:p w:rsidR="00B85AC4" w:rsidRDefault="00B85AC4" w:rsidP="00A37997">
      <w:pPr>
        <w:spacing w:after="0"/>
      </w:pPr>
    </w:p>
    <w:p w:rsidR="00A37997" w:rsidRDefault="00A37997" w:rsidP="00A37997">
      <w:pPr>
        <w:spacing w:after="0"/>
      </w:pPr>
    </w:p>
    <w:p w:rsidR="00A37997" w:rsidRDefault="00A37997" w:rsidP="00A37997">
      <w:pPr>
        <w:spacing w:after="0"/>
      </w:pPr>
    </w:p>
    <w:p w:rsidR="00A37997" w:rsidRDefault="00A37997" w:rsidP="00A37997">
      <w:pPr>
        <w:spacing w:after="0"/>
      </w:pPr>
    </w:p>
    <w:p w:rsidR="00A37997" w:rsidRDefault="00A37997" w:rsidP="00A37997">
      <w:pPr>
        <w:spacing w:after="0"/>
      </w:pPr>
    </w:p>
    <w:p w:rsidR="00A37997" w:rsidRDefault="00A37997" w:rsidP="00A37997">
      <w:pPr>
        <w:spacing w:after="0"/>
      </w:pPr>
    </w:p>
    <w:p w:rsidR="00A37997" w:rsidRDefault="00A37997" w:rsidP="00A37997">
      <w:pPr>
        <w:spacing w:after="0"/>
      </w:pPr>
    </w:p>
    <w:p w:rsidR="00A37997" w:rsidRDefault="00A37997" w:rsidP="00A37997">
      <w:pPr>
        <w:spacing w:after="0"/>
      </w:pPr>
    </w:p>
    <w:p w:rsidR="00A37997" w:rsidRDefault="00A37997" w:rsidP="00A37997">
      <w:pPr>
        <w:tabs>
          <w:tab w:val="left" w:pos="8863"/>
        </w:tabs>
        <w:spacing w:after="0"/>
      </w:pPr>
      <w:r>
        <w:tab/>
      </w:r>
    </w:p>
    <w:p w:rsidR="00A37997" w:rsidRDefault="00A37997" w:rsidP="00A37997">
      <w:pPr>
        <w:spacing w:after="0"/>
      </w:pPr>
    </w:p>
    <w:p w:rsidR="00A37997" w:rsidRDefault="00A37997" w:rsidP="00A37997">
      <w:pPr>
        <w:spacing w:after="0"/>
      </w:pPr>
    </w:p>
    <w:p w:rsidR="00A37997" w:rsidRDefault="00A37997" w:rsidP="00A37997">
      <w:pPr>
        <w:spacing w:after="0"/>
      </w:pPr>
    </w:p>
    <w:p w:rsidR="00B85AC4" w:rsidRDefault="00B85AC4" w:rsidP="00A37997">
      <w:pPr>
        <w:spacing w:after="0"/>
      </w:pPr>
    </w:p>
    <w:tbl>
      <w:tblPr>
        <w:tblW w:w="147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4"/>
        <w:gridCol w:w="3543"/>
        <w:gridCol w:w="2694"/>
        <w:gridCol w:w="2268"/>
        <w:gridCol w:w="1842"/>
        <w:gridCol w:w="1719"/>
      </w:tblGrid>
      <w:tr w:rsidR="00B85AC4" w:rsidRPr="00712CAC" w:rsidTr="00B85AC4">
        <w:trPr>
          <w:trHeight w:val="240"/>
        </w:trPr>
        <w:tc>
          <w:tcPr>
            <w:tcW w:w="1476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B85AC4" w:rsidRPr="00712CAC" w:rsidRDefault="00B85AC4" w:rsidP="00A37997">
            <w:pPr>
              <w:spacing w:after="120"/>
              <w:jc w:val="center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b/>
                <w:sz w:val="32"/>
              </w:rPr>
              <w:lastRenderedPageBreak/>
              <w:t>Matrice de la stratégie de diffusion</w:t>
            </w:r>
            <w:r>
              <w:rPr>
                <w:rStyle w:val="Appelnotedebasdep"/>
                <w:b/>
                <w:sz w:val="32"/>
              </w:rPr>
              <w:footnoteReference w:id="1"/>
            </w:r>
          </w:p>
        </w:tc>
      </w:tr>
      <w:tr w:rsidR="00A37997" w:rsidRPr="00712CAC" w:rsidTr="00A37997">
        <w:trPr>
          <w:trHeight w:val="594"/>
        </w:trPr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CE39"/>
          </w:tcPr>
          <w:p w:rsidR="00B85AC4" w:rsidRPr="00712CAC" w:rsidRDefault="00EE5FBB" w:rsidP="00A37997">
            <w:pPr>
              <w:tabs>
                <w:tab w:val="left" w:pos="1820"/>
              </w:tabs>
              <w:spacing w:after="0"/>
              <w:rPr>
                <w:szCs w:val="28"/>
                <w:lang w:bidi="th-TH"/>
              </w:rPr>
            </w:pPr>
            <w:r>
              <w:rPr>
                <w:b/>
              </w:rPr>
              <w:t xml:space="preserve">Principales </w:t>
            </w:r>
            <w:r w:rsidR="00B85AC4">
              <w:rPr>
                <w:b/>
              </w:rPr>
              <w:t>parties prenantes c</w:t>
            </w:r>
            <w:r>
              <w:rPr>
                <w:b/>
              </w:rPr>
              <w:t>oncern</w:t>
            </w:r>
            <w:r w:rsidR="00B85AC4">
              <w:rPr>
                <w:b/>
              </w:rPr>
              <w:t>é</w:t>
            </w:r>
            <w:r>
              <w:rPr>
                <w:b/>
              </w:rPr>
              <w:t>e</w:t>
            </w:r>
            <w:r w:rsidR="00B85AC4">
              <w:rPr>
                <w:b/>
              </w:rPr>
              <w:t>s</w:t>
            </w:r>
            <w:r w:rsidR="00A37997">
              <w:rPr>
                <w:b/>
              </w:rPr>
              <w:t xml:space="preserve"> (audience)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CE39"/>
          </w:tcPr>
          <w:p w:rsidR="00B85AC4" w:rsidRPr="00712CAC" w:rsidRDefault="00E5750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  <w:r>
              <w:rPr>
                <w:b/>
              </w:rPr>
              <w:t>Comment chaque partie utiliserait les résultats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CE39"/>
          </w:tcPr>
          <w:p w:rsidR="00B85AC4" w:rsidRPr="00712CAC" w:rsidRDefault="00E5750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  <w:r>
              <w:rPr>
                <w:b/>
              </w:rPr>
              <w:t>Formats de présentation nécessaires pour assurer la diffusion des résultats (responsable)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CE39"/>
          </w:tcPr>
          <w:p w:rsidR="00B85AC4" w:rsidRPr="00712CAC" w:rsidRDefault="00E57504" w:rsidP="00A37997">
            <w:pPr>
              <w:spacing w:after="0"/>
              <w:rPr>
                <w:szCs w:val="28"/>
                <w:lang w:bidi="th-TH"/>
              </w:rPr>
            </w:pPr>
            <w:r>
              <w:rPr>
                <w:b/>
              </w:rPr>
              <w:t>Besoin de traduction (responsable)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CE39"/>
          </w:tcPr>
          <w:p w:rsidR="00B85AC4" w:rsidRPr="00712CAC" w:rsidRDefault="000F38A5" w:rsidP="00A37997">
            <w:pPr>
              <w:spacing w:after="0"/>
              <w:rPr>
                <w:szCs w:val="28"/>
                <w:lang w:bidi="th-TH"/>
              </w:rPr>
            </w:pPr>
            <w:r>
              <w:rPr>
                <w:b/>
              </w:rPr>
              <w:t>Evé</w:t>
            </w:r>
            <w:r w:rsidR="00E57504">
              <w:rPr>
                <w:b/>
              </w:rPr>
              <w:t>nements pour la diffusion (responsable)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6CE39"/>
          </w:tcPr>
          <w:p w:rsidR="00B85AC4" w:rsidRPr="00712CAC" w:rsidRDefault="00B85AC4" w:rsidP="00A37997">
            <w:pPr>
              <w:spacing w:after="0"/>
              <w:rPr>
                <w:szCs w:val="28"/>
                <w:lang w:bidi="th-TH"/>
              </w:rPr>
            </w:pPr>
            <w:r>
              <w:rPr>
                <w:b/>
              </w:rPr>
              <w:t xml:space="preserve">Moment choisi/fréquence </w:t>
            </w:r>
          </w:p>
        </w:tc>
      </w:tr>
      <w:tr w:rsidR="00A37997" w:rsidRPr="00712CAC" w:rsidTr="00A37997">
        <w:trPr>
          <w:trHeight w:val="685"/>
        </w:trPr>
        <w:tc>
          <w:tcPr>
            <w:tcW w:w="2694" w:type="dxa"/>
            <w:tcBorders>
              <w:top w:val="single" w:sz="12" w:space="0" w:color="auto"/>
            </w:tcBorders>
          </w:tcPr>
          <w:p w:rsidR="00B85AC4" w:rsidRPr="00712CAC" w:rsidRDefault="00B85AC4" w:rsidP="00A37997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Équipe du projet (projet modèle) – Personnel de terrain et partenaires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F21278" w:rsidRPr="00A37997" w:rsidRDefault="00F21278" w:rsidP="00A37997">
            <w:pPr>
              <w:pStyle w:val="Paragraphedeliste"/>
              <w:spacing w:after="0"/>
              <w:ind w:left="0"/>
              <w:rPr>
                <w:sz w:val="20"/>
                <w:szCs w:val="20"/>
              </w:rPr>
            </w:pPr>
            <w:r w:rsidRPr="00A37997">
              <w:rPr>
                <w:sz w:val="20"/>
                <w:szCs w:val="20"/>
              </w:rPr>
              <w:t>Chaque partie utilisera les résultats de manière différente. Certains résultats seraient utilisés pour changer les pratiques communautaires, tandis que d’autres serviraient à promouvoir le projet. L’utilisation déterminerait le formation la présentation des résultats.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85AC4" w:rsidRPr="00A37997" w:rsidRDefault="00F21278" w:rsidP="00A37997">
            <w:pPr>
              <w:pStyle w:val="Paragraphedeliste"/>
              <w:spacing w:after="0"/>
              <w:ind w:left="0"/>
              <w:rPr>
                <w:sz w:val="20"/>
                <w:szCs w:val="20"/>
              </w:rPr>
            </w:pPr>
            <w:r w:rsidRPr="00A37997">
              <w:rPr>
                <w:sz w:val="20"/>
                <w:szCs w:val="20"/>
              </w:rPr>
              <w:t>Présentation orale, Power Points, profil technique, publication dans des blogs, sommaire exécutif/résumé sommaire, document sur papier contre version électronique, etc.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85AC4" w:rsidRPr="00A37997" w:rsidRDefault="00F21278" w:rsidP="00A37997">
            <w:pPr>
              <w:spacing w:after="0"/>
              <w:rPr>
                <w:sz w:val="20"/>
                <w:szCs w:val="20"/>
                <w:lang w:bidi="th-TH"/>
              </w:rPr>
            </w:pPr>
            <w:r w:rsidRPr="00A37997">
              <w:rPr>
                <w:sz w:val="20"/>
                <w:szCs w:val="20"/>
                <w:lang w:bidi="th-TH"/>
              </w:rPr>
              <w:t xml:space="preserve">Principales langues pour assurer une utilisation potentielle. Cet aspect est particulièrement important si les </w:t>
            </w:r>
            <w:r w:rsidR="00A37997">
              <w:rPr>
                <w:sz w:val="20"/>
                <w:szCs w:val="20"/>
                <w:lang w:bidi="th-TH"/>
              </w:rPr>
              <w:t>bénéficiaires</w:t>
            </w:r>
            <w:r w:rsidRPr="00A37997">
              <w:rPr>
                <w:sz w:val="20"/>
                <w:szCs w:val="20"/>
                <w:lang w:bidi="th-TH"/>
              </w:rPr>
              <w:t xml:space="preserve"> parle des dialectes/langues locales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B85AC4" w:rsidRPr="00A37997" w:rsidRDefault="00F21278" w:rsidP="00A37997">
            <w:pPr>
              <w:spacing w:after="0"/>
              <w:rPr>
                <w:sz w:val="20"/>
                <w:szCs w:val="20"/>
                <w:lang w:bidi="th-TH"/>
              </w:rPr>
            </w:pPr>
            <w:r w:rsidRPr="00A37997">
              <w:rPr>
                <w:sz w:val="20"/>
                <w:szCs w:val="20"/>
                <w:lang w:bidi="th-TH"/>
              </w:rPr>
              <w:t>Atelier, conférence de presse, réunion communautaire, événements nationaux</w:t>
            </w:r>
            <w:r w:rsidR="00A37997" w:rsidRPr="00A37997">
              <w:rPr>
                <w:sz w:val="20"/>
                <w:szCs w:val="20"/>
                <w:lang w:bidi="th-TH"/>
              </w:rPr>
              <w:t>, réunions sectorielles, etc.</w:t>
            </w:r>
          </w:p>
        </w:tc>
        <w:tc>
          <w:tcPr>
            <w:tcW w:w="1719" w:type="dxa"/>
            <w:tcBorders>
              <w:top w:val="single" w:sz="12" w:space="0" w:color="auto"/>
            </w:tcBorders>
          </w:tcPr>
          <w:p w:rsidR="00B85AC4" w:rsidRPr="00A37997" w:rsidRDefault="00A37997" w:rsidP="00A37997">
            <w:pPr>
              <w:spacing w:after="0"/>
              <w:rPr>
                <w:sz w:val="20"/>
                <w:szCs w:val="20"/>
                <w:lang w:bidi="th-TH"/>
              </w:rPr>
            </w:pPr>
            <w:r w:rsidRPr="00A37997">
              <w:rPr>
                <w:sz w:val="20"/>
                <w:szCs w:val="20"/>
                <w:lang w:bidi="th-TH"/>
              </w:rPr>
              <w:t>Les dates exactes auxquelles les formats sélectionnés seraient présentés à chaque type d’audience</w:t>
            </w:r>
          </w:p>
        </w:tc>
      </w:tr>
      <w:tr w:rsidR="00A37997" w:rsidRPr="00712CAC" w:rsidTr="00A37997">
        <w:trPr>
          <w:trHeight w:val="104"/>
        </w:trPr>
        <w:tc>
          <w:tcPr>
            <w:tcW w:w="2694" w:type="dxa"/>
          </w:tcPr>
          <w:p w:rsidR="00F21278" w:rsidRPr="00712CAC" w:rsidRDefault="00F21278" w:rsidP="00A37997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Bénéficiaires</w:t>
            </w:r>
          </w:p>
        </w:tc>
        <w:tc>
          <w:tcPr>
            <w:tcW w:w="3543" w:type="dxa"/>
          </w:tcPr>
          <w:p w:rsidR="00F21278" w:rsidRPr="00712CAC" w:rsidRDefault="00F21278" w:rsidP="00A37997">
            <w:pPr>
              <w:pStyle w:val="Paragraphedeliste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2694" w:type="dxa"/>
          </w:tcPr>
          <w:p w:rsidR="00F21278" w:rsidRPr="00712CAC" w:rsidRDefault="00F21278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268" w:type="dxa"/>
          </w:tcPr>
          <w:p w:rsidR="00F21278" w:rsidRPr="00712CAC" w:rsidRDefault="00F21278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842" w:type="dxa"/>
          </w:tcPr>
          <w:p w:rsidR="00F21278" w:rsidRPr="00712CAC" w:rsidRDefault="00F21278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719" w:type="dxa"/>
          </w:tcPr>
          <w:p w:rsidR="00F21278" w:rsidRPr="00712CAC" w:rsidRDefault="00F21278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</w:tr>
      <w:tr w:rsidR="00A37997" w:rsidRPr="00712CAC" w:rsidTr="00A37997">
        <w:trPr>
          <w:trHeight w:val="104"/>
        </w:trPr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IPD LWR</w:t>
            </w:r>
          </w:p>
        </w:tc>
        <w:tc>
          <w:tcPr>
            <w:tcW w:w="3543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268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842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719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</w:tr>
      <w:tr w:rsidR="00A37997" w:rsidRPr="00712CAC" w:rsidTr="00A37997">
        <w:trPr>
          <w:trHeight w:val="104"/>
        </w:trPr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Équipe siège LGI</w:t>
            </w:r>
          </w:p>
        </w:tc>
        <w:tc>
          <w:tcPr>
            <w:tcW w:w="3543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268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842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719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</w:tr>
      <w:tr w:rsidR="00A37997" w:rsidRPr="00712CAC" w:rsidTr="00A37997">
        <w:trPr>
          <w:trHeight w:val="104"/>
        </w:trPr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TOUT LWR</w:t>
            </w:r>
          </w:p>
        </w:tc>
        <w:tc>
          <w:tcPr>
            <w:tcW w:w="3543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268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842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719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</w:tr>
      <w:tr w:rsidR="00A37997" w:rsidRPr="00712CAC" w:rsidTr="00A37997">
        <w:trPr>
          <w:trHeight w:val="104"/>
        </w:trPr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Grands donateurs de LWR</w:t>
            </w:r>
          </w:p>
        </w:tc>
        <w:tc>
          <w:tcPr>
            <w:tcW w:w="3543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268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842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719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</w:tr>
      <w:tr w:rsidR="00A37997" w:rsidRPr="00712CAC" w:rsidTr="00A37997">
        <w:trPr>
          <w:trHeight w:val="104"/>
        </w:trPr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Équipe dirigeante</w:t>
            </w:r>
          </w:p>
        </w:tc>
        <w:tc>
          <w:tcPr>
            <w:tcW w:w="3543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268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842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719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</w:tr>
      <w:tr w:rsidR="00A37997" w:rsidRPr="00712CAC" w:rsidTr="00A37997">
        <w:trPr>
          <w:trHeight w:val="104"/>
        </w:trPr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Conseil d'administration</w:t>
            </w:r>
          </w:p>
        </w:tc>
        <w:tc>
          <w:tcPr>
            <w:tcW w:w="3543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268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842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719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</w:tr>
      <w:tr w:rsidR="00A37997" w:rsidRPr="00712CAC" w:rsidTr="00A37997">
        <w:trPr>
          <w:trHeight w:val="104"/>
        </w:trPr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Siège FRB</w:t>
            </w:r>
          </w:p>
        </w:tc>
        <w:tc>
          <w:tcPr>
            <w:tcW w:w="3543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268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842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719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</w:tr>
      <w:tr w:rsidR="00A37997" w:rsidRPr="00712CAC" w:rsidTr="00A37997">
        <w:trPr>
          <w:trHeight w:val="104"/>
        </w:trPr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Growing Communities FRB </w:t>
            </w:r>
          </w:p>
        </w:tc>
        <w:tc>
          <w:tcPr>
            <w:tcW w:w="3543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268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842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719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</w:tr>
      <w:tr w:rsidR="00A37997" w:rsidRPr="00712CAC" w:rsidTr="00A37997">
        <w:trPr>
          <w:trHeight w:val="104"/>
        </w:trPr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Luthériens américains</w:t>
            </w:r>
          </w:p>
        </w:tc>
        <w:tc>
          <w:tcPr>
            <w:tcW w:w="3543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268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842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719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</w:tr>
      <w:tr w:rsidR="00A37997" w:rsidRPr="00712CAC" w:rsidTr="00A37997">
        <w:trPr>
          <w:trHeight w:val="104"/>
        </w:trPr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Organisations homologues</w:t>
            </w:r>
          </w:p>
        </w:tc>
        <w:tc>
          <w:tcPr>
            <w:tcW w:w="3543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268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842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719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</w:tr>
      <w:tr w:rsidR="00A37997" w:rsidRPr="00712CAC" w:rsidTr="00A37997">
        <w:trPr>
          <w:trHeight w:val="104"/>
        </w:trPr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Donateurs</w:t>
            </w:r>
          </w:p>
        </w:tc>
        <w:tc>
          <w:tcPr>
            <w:tcW w:w="3543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268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842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719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</w:tr>
      <w:tr w:rsidR="00A37997" w:rsidRPr="00712CAC" w:rsidTr="00A37997">
        <w:trPr>
          <w:trHeight w:val="104"/>
        </w:trPr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</w:rPr>
            </w:pPr>
          </w:p>
        </w:tc>
        <w:tc>
          <w:tcPr>
            <w:tcW w:w="3543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268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842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719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</w:tr>
      <w:tr w:rsidR="00A37997" w:rsidRPr="00712CAC" w:rsidTr="00A37997">
        <w:trPr>
          <w:trHeight w:val="104"/>
        </w:trPr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</w:rPr>
            </w:pPr>
          </w:p>
        </w:tc>
        <w:tc>
          <w:tcPr>
            <w:tcW w:w="3543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694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2268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842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  <w:tc>
          <w:tcPr>
            <w:tcW w:w="1719" w:type="dxa"/>
          </w:tcPr>
          <w:p w:rsidR="00B85AC4" w:rsidRPr="00712CAC" w:rsidRDefault="00B85AC4" w:rsidP="00A37997">
            <w:pPr>
              <w:spacing w:after="0"/>
              <w:rPr>
                <w:b/>
                <w:bCs/>
                <w:szCs w:val="28"/>
                <w:lang w:bidi="th-TH"/>
              </w:rPr>
            </w:pPr>
          </w:p>
        </w:tc>
      </w:tr>
    </w:tbl>
    <w:p w:rsidR="00B85AC4" w:rsidRDefault="00B85AC4" w:rsidP="00B85AC4"/>
    <w:sectPr w:rsidR="00B85AC4" w:rsidSect="00A37997">
      <w:headerReference w:type="default" r:id="rId8"/>
      <w:footerReference w:type="default" r:id="rId9"/>
      <w:pgSz w:w="15840" w:h="12240" w:orient="landscape"/>
      <w:pgMar w:top="540" w:right="540" w:bottom="540" w:left="540" w:header="54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1C" w:rsidRDefault="00BF1A1C" w:rsidP="00B85AC4">
      <w:pPr>
        <w:spacing w:after="0" w:line="240" w:lineRule="auto"/>
      </w:pPr>
      <w:r>
        <w:separator/>
      </w:r>
    </w:p>
  </w:endnote>
  <w:endnote w:type="continuationSeparator" w:id="0">
    <w:p w:rsidR="00BF1A1C" w:rsidRDefault="00BF1A1C" w:rsidP="00B8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C4" w:rsidRDefault="00B85AC4">
    <w:pPr>
      <w:pStyle w:val="Pieddepage"/>
      <w:jc w:val="right"/>
    </w:pPr>
    <w:r>
      <w:t xml:space="preserve">Page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0F38A5">
      <w:rPr>
        <w:b/>
        <w:noProof/>
      </w:rPr>
      <w:t>2</w:t>
    </w:r>
    <w:r>
      <w:rPr>
        <w:b/>
        <w:sz w:val="24"/>
      </w:rPr>
      <w:fldChar w:fldCharType="end"/>
    </w:r>
    <w:r>
      <w:t xml:space="preserve"> sur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0F38A5">
      <w:rPr>
        <w:b/>
        <w:noProof/>
      </w:rPr>
      <w:t>2</w:t>
    </w:r>
    <w:r>
      <w:rPr>
        <w:b/>
        <w:sz w:val="24"/>
      </w:rPr>
      <w:fldChar w:fldCharType="end"/>
    </w:r>
  </w:p>
  <w:p w:rsidR="00B85AC4" w:rsidRDefault="00B85AC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1C" w:rsidRDefault="00BF1A1C" w:rsidP="00B85AC4">
      <w:pPr>
        <w:spacing w:after="0" w:line="240" w:lineRule="auto"/>
      </w:pPr>
      <w:r>
        <w:separator/>
      </w:r>
    </w:p>
  </w:footnote>
  <w:footnote w:type="continuationSeparator" w:id="0">
    <w:p w:rsidR="00BF1A1C" w:rsidRDefault="00BF1A1C" w:rsidP="00B85AC4">
      <w:pPr>
        <w:spacing w:after="0" w:line="240" w:lineRule="auto"/>
      </w:pPr>
      <w:r>
        <w:continuationSeparator/>
      </w:r>
    </w:p>
  </w:footnote>
  <w:footnote w:id="1">
    <w:p w:rsidR="00B85AC4" w:rsidRPr="00DD2496" w:rsidRDefault="00B85AC4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Le contenu de cette matrice est largement inspiré de : UNIFEM Evaluation Unit. 2009. </w:t>
      </w:r>
      <w:r>
        <w:rPr>
          <w:sz w:val="12"/>
        </w:rPr>
        <w:t xml:space="preserve"> </w:t>
      </w:r>
      <w:r w:rsidRPr="00EE5FBB">
        <w:rPr>
          <w:i/>
          <w:sz w:val="16"/>
          <w:lang w:val="en-US"/>
        </w:rPr>
        <w:t>Evaluation Guidance Note Series:</w:t>
      </w:r>
      <w:r w:rsidRPr="00EE5FBB">
        <w:rPr>
          <w:sz w:val="16"/>
          <w:lang w:val="en-US"/>
        </w:rPr>
        <w:t xml:space="preserve"> </w:t>
      </w:r>
      <w:r w:rsidRPr="00EE5FBB">
        <w:rPr>
          <w:i/>
          <w:sz w:val="16"/>
          <w:lang w:val="en-US"/>
        </w:rPr>
        <w:t xml:space="preserve">Guidance Note on Developing an Evaluation Dissemination Strategy. </w:t>
      </w:r>
      <w:r w:rsidRPr="00EE5FBB">
        <w:rPr>
          <w:sz w:val="16"/>
          <w:lang w:val="en-US"/>
        </w:rPr>
        <w:t xml:space="preserve"> </w:t>
      </w:r>
      <w:r w:rsidRPr="00DD2496">
        <w:rPr>
          <w:sz w:val="16"/>
          <w:lang w:val="en-US"/>
        </w:rPr>
        <w:t xml:space="preserve">United Nations Development Fund for Women (UNIFEM), New York, NY. p. 7.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C4" w:rsidRDefault="00B85AC4">
    <w:pPr>
      <w:pStyle w:val="En-tt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margin-left:486.05pt;margin-top:.55pt;width:236.25pt;height:30.6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" filled="f" stroked="f" strokeweight=".5pt">
          <v:textbox>
            <w:txbxContent>
              <w:p w:rsidR="00B85AC4" w:rsidRPr="00712CAC" w:rsidRDefault="00B85AC4" w:rsidP="00B85AC4">
                <w:pPr>
                  <w:jc w:val="right"/>
                  <w:rPr>
                    <w:rFonts w:ascii="Franklin Gothic Medium Cond" w:hAnsi="Franklin Gothic Medium Cond"/>
                    <w:color w:val="404040"/>
                    <w:sz w:val="40"/>
                    <w:szCs w:val="40"/>
                  </w:rPr>
                </w:pPr>
                <w:r>
                  <w:rPr>
                    <w:rFonts w:ascii="Franklin Gothic Medium Cond" w:hAnsi="Franklin Gothic Medium Cond"/>
                    <w:color w:val="404040"/>
                    <w:sz w:val="40"/>
                  </w:rPr>
                  <w:t>OUTIL</w:t>
                </w:r>
              </w:p>
            </w:txbxContent>
          </v:textbox>
        </v:shape>
      </w:pict>
    </w:r>
    <w:r>
      <w:pict>
        <v:shape id="Text Box 5" o:spid="_x0000_s2049" type="#_x0000_t202" style="position:absolute;margin-left:352.1pt;margin-top:28.55pt;width:370.95pt;height:27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" filled="f" stroked="f">
          <v:textbox>
            <w:txbxContent>
              <w:p w:rsidR="00B85AC4" w:rsidRPr="00712CAC" w:rsidRDefault="00B85AC4" w:rsidP="00B85AC4">
                <w:pPr>
                  <w:autoSpaceDE w:val="0"/>
                  <w:autoSpaceDN w:val="0"/>
                  <w:adjustRightInd w:val="0"/>
                  <w:spacing w:after="0" w:line="288" w:lineRule="auto"/>
                  <w:jc w:val="right"/>
                  <w:textAlignment w:val="center"/>
                  <w:rPr>
                    <w:rFonts w:ascii="Franklin Gothic Demi Cond" w:hAnsi="Franklin Gothic Demi Cond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ascii="Franklin Gothic Demi Cond" w:hAnsi="Franklin Gothic Demi Cond"/>
                    <w:color w:val="404040"/>
                    <w:sz w:val="28"/>
                    <w:u w:val="single"/>
                  </w:rPr>
                  <w:t>Plan d'utilisation de l'évaluation</w:t>
                </w:r>
              </w:p>
            </w:txbxContent>
          </v:textbox>
        </v:shape>
      </w:pict>
    </w:r>
    <w:r w:rsidR="000F38A5">
      <w:rPr>
        <w:noProof/>
        <w:lang w:eastAsia="fr-FR"/>
      </w:rPr>
      <w:drawing>
        <wp:inline distT="0" distB="0" distL="0" distR="0">
          <wp:extent cx="9303385" cy="914400"/>
          <wp:effectExtent l="1905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33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D81"/>
    <w:multiLevelType w:val="hybridMultilevel"/>
    <w:tmpl w:val="AAB8D0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756B"/>
    <w:multiLevelType w:val="hybridMultilevel"/>
    <w:tmpl w:val="AA4A8C4E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decimal"/>
      <w:lvlText w:val="%2."/>
      <w:lvlJc w:val="left"/>
      <w:pPr>
        <w:ind w:left="1152" w:hanging="360"/>
      </w:pPr>
      <w:rPr>
        <w:rFonts w:ascii="Calibri" w:eastAsia="Calibri" w:hAnsi="Calibri" w:cs="Cordia New"/>
      </w:r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 w:tentative="1">
      <w:start w:val="1"/>
      <w:numFmt w:val="lowerRoman"/>
      <w:lvlText w:val="%6."/>
      <w:lvlJc w:val="right"/>
      <w:pPr>
        <w:ind w:left="4032" w:hanging="180"/>
      </w:pPr>
    </w:lvl>
    <w:lvl w:ilvl="6" w:tentative="1">
      <w:start w:val="1"/>
      <w:numFmt w:val="decimal"/>
      <w:lvlText w:val="%7."/>
      <w:lvlJc w:val="left"/>
      <w:pPr>
        <w:ind w:left="4752" w:hanging="360"/>
      </w:pPr>
    </w:lvl>
    <w:lvl w:ilvl="7" w:tentative="1">
      <w:start w:val="1"/>
      <w:numFmt w:val="lowerLetter"/>
      <w:lvlText w:val="%8."/>
      <w:lvlJc w:val="left"/>
      <w:pPr>
        <w:ind w:left="5472" w:hanging="360"/>
      </w:pPr>
    </w:lvl>
    <w:lvl w:ilvl="8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DD95F50"/>
    <w:multiLevelType w:val="hybridMultilevel"/>
    <w:tmpl w:val="AD52A024"/>
    <w:lvl w:ilvl="0">
      <w:start w:val="1"/>
      <w:numFmt w:val="decimal"/>
      <w:lvlText w:val="%1."/>
      <w:lvlJc w:val="left"/>
      <w:pPr>
        <w:ind w:left="1470" w:hanging="360"/>
      </w:pPr>
    </w:lvl>
    <w:lvl w:ilvl="1" w:tentative="1">
      <w:start w:val="1"/>
      <w:numFmt w:val="lowerLetter"/>
      <w:lvlText w:val="%2."/>
      <w:lvlJc w:val="left"/>
      <w:pPr>
        <w:ind w:left="2190" w:hanging="360"/>
      </w:pPr>
    </w:lvl>
    <w:lvl w:ilvl="2" w:tentative="1">
      <w:start w:val="1"/>
      <w:numFmt w:val="lowerRoman"/>
      <w:lvlText w:val="%3."/>
      <w:lvlJc w:val="right"/>
      <w:pPr>
        <w:ind w:left="2910" w:hanging="180"/>
      </w:pPr>
    </w:lvl>
    <w:lvl w:ilvl="3" w:tentative="1">
      <w:start w:val="1"/>
      <w:numFmt w:val="decimal"/>
      <w:lvlText w:val="%4."/>
      <w:lvlJc w:val="left"/>
      <w:pPr>
        <w:ind w:left="3630" w:hanging="360"/>
      </w:pPr>
    </w:lvl>
    <w:lvl w:ilvl="4" w:tentative="1">
      <w:start w:val="1"/>
      <w:numFmt w:val="lowerLetter"/>
      <w:lvlText w:val="%5."/>
      <w:lvlJc w:val="left"/>
      <w:pPr>
        <w:ind w:left="4350" w:hanging="360"/>
      </w:pPr>
    </w:lvl>
    <w:lvl w:ilvl="5" w:tentative="1">
      <w:start w:val="1"/>
      <w:numFmt w:val="lowerRoman"/>
      <w:lvlText w:val="%6."/>
      <w:lvlJc w:val="right"/>
      <w:pPr>
        <w:ind w:left="5070" w:hanging="180"/>
      </w:pPr>
    </w:lvl>
    <w:lvl w:ilvl="6" w:tentative="1">
      <w:start w:val="1"/>
      <w:numFmt w:val="decimal"/>
      <w:lvlText w:val="%7."/>
      <w:lvlJc w:val="left"/>
      <w:pPr>
        <w:ind w:left="5790" w:hanging="360"/>
      </w:pPr>
    </w:lvl>
    <w:lvl w:ilvl="7" w:tentative="1">
      <w:start w:val="1"/>
      <w:numFmt w:val="lowerLetter"/>
      <w:lvlText w:val="%8."/>
      <w:lvlJc w:val="left"/>
      <w:pPr>
        <w:ind w:left="6510" w:hanging="360"/>
      </w:pPr>
    </w:lvl>
    <w:lvl w:ilvl="8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F4B5C6B"/>
    <w:multiLevelType w:val="hybridMultilevel"/>
    <w:tmpl w:val="76B0A3B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3CB1"/>
    <w:multiLevelType w:val="hybridMultilevel"/>
    <w:tmpl w:val="70668728"/>
    <w:lvl w:ilvl="0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5">
    <w:nsid w:val="1A5018F4"/>
    <w:multiLevelType w:val="hybridMultilevel"/>
    <w:tmpl w:val="F6CCA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82BF0"/>
    <w:multiLevelType w:val="hybridMultilevel"/>
    <w:tmpl w:val="C0C84E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F541A"/>
    <w:multiLevelType w:val="hybridMultilevel"/>
    <w:tmpl w:val="1DC21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019E2"/>
    <w:multiLevelType w:val="hybridMultilevel"/>
    <w:tmpl w:val="7384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52424C"/>
    <w:multiLevelType w:val="hybridMultilevel"/>
    <w:tmpl w:val="65A016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D6B25"/>
    <w:multiLevelType w:val="hybridMultilevel"/>
    <w:tmpl w:val="93581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422CE2"/>
    <w:multiLevelType w:val="hybridMultilevel"/>
    <w:tmpl w:val="27ECE4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A6E4A"/>
    <w:multiLevelType w:val="hybridMultilevel"/>
    <w:tmpl w:val="8090AA7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75D47E7"/>
    <w:multiLevelType w:val="hybridMultilevel"/>
    <w:tmpl w:val="B1269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B5F45"/>
    <w:multiLevelType w:val="hybridMultilevel"/>
    <w:tmpl w:val="026C2DC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C0119"/>
    <w:multiLevelType w:val="hybridMultilevel"/>
    <w:tmpl w:val="B7BE62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547A2"/>
    <w:multiLevelType w:val="hybridMultilevel"/>
    <w:tmpl w:val="BD2E10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D57F1"/>
    <w:multiLevelType w:val="hybridMultilevel"/>
    <w:tmpl w:val="2A960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968AE"/>
    <w:multiLevelType w:val="hybridMultilevel"/>
    <w:tmpl w:val="C9A8B2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51183"/>
    <w:multiLevelType w:val="hybridMultilevel"/>
    <w:tmpl w:val="D81897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3BB5D90"/>
    <w:multiLevelType w:val="hybridMultilevel"/>
    <w:tmpl w:val="68109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32C03"/>
    <w:multiLevelType w:val="hybridMultilevel"/>
    <w:tmpl w:val="4C2ED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21360"/>
    <w:multiLevelType w:val="hybridMultilevel"/>
    <w:tmpl w:val="37DC6D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6256B"/>
    <w:multiLevelType w:val="hybridMultilevel"/>
    <w:tmpl w:val="460A5B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447AC"/>
    <w:multiLevelType w:val="hybridMultilevel"/>
    <w:tmpl w:val="9C4229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A2DB5"/>
    <w:multiLevelType w:val="hybridMultilevel"/>
    <w:tmpl w:val="03A2C0C0"/>
    <w:lvl w:ilvl="0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6">
    <w:nsid w:val="40F835E0"/>
    <w:multiLevelType w:val="hybridMultilevel"/>
    <w:tmpl w:val="00563E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02FF8"/>
    <w:multiLevelType w:val="hybridMultilevel"/>
    <w:tmpl w:val="E3B2C4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900284"/>
    <w:multiLevelType w:val="hybridMultilevel"/>
    <w:tmpl w:val="811806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C84CCB"/>
    <w:multiLevelType w:val="hybridMultilevel"/>
    <w:tmpl w:val="1C4271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F0453"/>
    <w:multiLevelType w:val="hybridMultilevel"/>
    <w:tmpl w:val="FE62C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7178F"/>
    <w:multiLevelType w:val="hybridMultilevel"/>
    <w:tmpl w:val="E18695AA"/>
    <w:lvl w:ilvl="0">
      <w:start w:val="1"/>
      <w:numFmt w:val="lowerLetter"/>
      <w:lvlText w:val="%1)"/>
      <w:lvlJc w:val="left"/>
      <w:pPr>
        <w:ind w:left="765" w:hanging="360"/>
      </w:p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4A7F28AF"/>
    <w:multiLevelType w:val="hybridMultilevel"/>
    <w:tmpl w:val="CEC87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6B0E9A"/>
    <w:multiLevelType w:val="hybridMultilevel"/>
    <w:tmpl w:val="97504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47F1F"/>
    <w:multiLevelType w:val="hybridMultilevel"/>
    <w:tmpl w:val="3D66EA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9C3819"/>
    <w:multiLevelType w:val="hybridMultilevel"/>
    <w:tmpl w:val="9D60D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5F098B"/>
    <w:multiLevelType w:val="hybridMultilevel"/>
    <w:tmpl w:val="2C8A2A5A"/>
    <w:lvl w:ilvl="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FB1EB2"/>
    <w:multiLevelType w:val="hybridMultilevel"/>
    <w:tmpl w:val="B4B88D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996C3B"/>
    <w:multiLevelType w:val="hybridMultilevel"/>
    <w:tmpl w:val="0F1023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6863F7"/>
    <w:multiLevelType w:val="hybridMultilevel"/>
    <w:tmpl w:val="7F5C8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17663"/>
    <w:multiLevelType w:val="hybridMultilevel"/>
    <w:tmpl w:val="58B4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C96C7A"/>
    <w:multiLevelType w:val="hybridMultilevel"/>
    <w:tmpl w:val="8864F7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916D0A"/>
    <w:multiLevelType w:val="hybridMultilevel"/>
    <w:tmpl w:val="F2D43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F7718"/>
    <w:multiLevelType w:val="hybridMultilevel"/>
    <w:tmpl w:val="C9A8B2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34693"/>
    <w:multiLevelType w:val="hybridMultilevel"/>
    <w:tmpl w:val="E4E005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B6BF9"/>
    <w:multiLevelType w:val="hybridMultilevel"/>
    <w:tmpl w:val="BB4ABE0E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decimal"/>
      <w:lvlText w:val="%2."/>
      <w:lvlJc w:val="left"/>
      <w:pPr>
        <w:ind w:left="1152" w:hanging="360"/>
      </w:pPr>
      <w:rPr>
        <w:rFonts w:ascii="Calibri" w:eastAsia="Calibri" w:hAnsi="Calibri" w:cs="Cordia New"/>
      </w:r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 w:tentative="1">
      <w:start w:val="1"/>
      <w:numFmt w:val="lowerRoman"/>
      <w:lvlText w:val="%6."/>
      <w:lvlJc w:val="right"/>
      <w:pPr>
        <w:ind w:left="4032" w:hanging="180"/>
      </w:pPr>
    </w:lvl>
    <w:lvl w:ilvl="6" w:tentative="1">
      <w:start w:val="1"/>
      <w:numFmt w:val="decimal"/>
      <w:lvlText w:val="%7."/>
      <w:lvlJc w:val="left"/>
      <w:pPr>
        <w:ind w:left="4752" w:hanging="360"/>
      </w:pPr>
    </w:lvl>
    <w:lvl w:ilvl="7" w:tentative="1">
      <w:start w:val="1"/>
      <w:numFmt w:val="lowerLetter"/>
      <w:lvlText w:val="%8."/>
      <w:lvlJc w:val="left"/>
      <w:pPr>
        <w:ind w:left="5472" w:hanging="360"/>
      </w:pPr>
    </w:lvl>
    <w:lvl w:ilvl="8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6">
    <w:nsid w:val="7ABF42F8"/>
    <w:multiLevelType w:val="hybridMultilevel"/>
    <w:tmpl w:val="CEC87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43DCE"/>
    <w:multiLevelType w:val="hybridMultilevel"/>
    <w:tmpl w:val="B1269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3"/>
  </w:num>
  <w:num w:numId="4">
    <w:abstractNumId w:val="9"/>
  </w:num>
  <w:num w:numId="5">
    <w:abstractNumId w:val="11"/>
  </w:num>
  <w:num w:numId="6">
    <w:abstractNumId w:val="30"/>
  </w:num>
  <w:num w:numId="7">
    <w:abstractNumId w:val="46"/>
  </w:num>
  <w:num w:numId="8">
    <w:abstractNumId w:val="39"/>
  </w:num>
  <w:num w:numId="9">
    <w:abstractNumId w:val="32"/>
  </w:num>
  <w:num w:numId="10">
    <w:abstractNumId w:val="38"/>
  </w:num>
  <w:num w:numId="11">
    <w:abstractNumId w:val="24"/>
  </w:num>
  <w:num w:numId="12">
    <w:abstractNumId w:val="21"/>
  </w:num>
  <w:num w:numId="13">
    <w:abstractNumId w:val="15"/>
  </w:num>
  <w:num w:numId="14">
    <w:abstractNumId w:val="6"/>
  </w:num>
  <w:num w:numId="15">
    <w:abstractNumId w:val="23"/>
  </w:num>
  <w:num w:numId="16">
    <w:abstractNumId w:val="26"/>
  </w:num>
  <w:num w:numId="17">
    <w:abstractNumId w:val="27"/>
  </w:num>
  <w:num w:numId="18">
    <w:abstractNumId w:val="4"/>
  </w:num>
  <w:num w:numId="19">
    <w:abstractNumId w:val="12"/>
  </w:num>
  <w:num w:numId="20">
    <w:abstractNumId w:val="17"/>
  </w:num>
  <w:num w:numId="21">
    <w:abstractNumId w:val="31"/>
  </w:num>
  <w:num w:numId="22">
    <w:abstractNumId w:val="28"/>
  </w:num>
  <w:num w:numId="23">
    <w:abstractNumId w:val="20"/>
  </w:num>
  <w:num w:numId="24">
    <w:abstractNumId w:val="44"/>
  </w:num>
  <w:num w:numId="25">
    <w:abstractNumId w:val="5"/>
  </w:num>
  <w:num w:numId="26">
    <w:abstractNumId w:val="0"/>
  </w:num>
  <w:num w:numId="27">
    <w:abstractNumId w:val="18"/>
  </w:num>
  <w:num w:numId="28">
    <w:abstractNumId w:val="43"/>
  </w:num>
  <w:num w:numId="29">
    <w:abstractNumId w:val="16"/>
  </w:num>
  <w:num w:numId="30">
    <w:abstractNumId w:val="29"/>
  </w:num>
  <w:num w:numId="31">
    <w:abstractNumId w:val="25"/>
  </w:num>
  <w:num w:numId="32">
    <w:abstractNumId w:val="14"/>
  </w:num>
  <w:num w:numId="33">
    <w:abstractNumId w:val="22"/>
  </w:num>
  <w:num w:numId="34">
    <w:abstractNumId w:val="40"/>
  </w:num>
  <w:num w:numId="35">
    <w:abstractNumId w:val="8"/>
  </w:num>
  <w:num w:numId="36">
    <w:abstractNumId w:val="19"/>
  </w:num>
  <w:num w:numId="37">
    <w:abstractNumId w:val="10"/>
  </w:num>
  <w:num w:numId="38">
    <w:abstractNumId w:val="41"/>
  </w:num>
  <w:num w:numId="39">
    <w:abstractNumId w:val="35"/>
  </w:num>
  <w:num w:numId="40">
    <w:abstractNumId w:val="1"/>
  </w:num>
  <w:num w:numId="41">
    <w:abstractNumId w:val="45"/>
  </w:num>
  <w:num w:numId="42">
    <w:abstractNumId w:val="13"/>
  </w:num>
  <w:num w:numId="43">
    <w:abstractNumId w:val="47"/>
  </w:num>
  <w:num w:numId="44">
    <w:abstractNumId w:val="34"/>
  </w:num>
  <w:num w:numId="45">
    <w:abstractNumId w:val="2"/>
  </w:num>
  <w:num w:numId="46">
    <w:abstractNumId w:val="37"/>
  </w:num>
  <w:num w:numId="47">
    <w:abstractNumId w:val="3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5FD"/>
    <w:rsid w:val="000F38A5"/>
    <w:rsid w:val="002118CB"/>
    <w:rsid w:val="00732DA4"/>
    <w:rsid w:val="00A37997"/>
    <w:rsid w:val="00B85AC4"/>
    <w:rsid w:val="00BF1A1C"/>
    <w:rsid w:val="00DD2496"/>
    <w:rsid w:val="00E57504"/>
    <w:rsid w:val="00E67F1D"/>
    <w:rsid w:val="00EE5FBB"/>
    <w:rsid w:val="00F2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0785"/>
  </w:style>
  <w:style w:type="paragraph" w:styleId="Pieddepage">
    <w:name w:val="footer"/>
    <w:basedOn w:val="Normal"/>
    <w:link w:val="PieddepageC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0785"/>
  </w:style>
  <w:style w:type="paragraph" w:styleId="Textedebulles">
    <w:name w:val="Balloon Text"/>
    <w:basedOn w:val="Normal"/>
    <w:link w:val="TextedebullesCar"/>
    <w:uiPriority w:val="99"/>
    <w:semiHidden/>
    <w:unhideWhenUsed/>
    <w:rsid w:val="00B40785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B40785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91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873CD"/>
    <w:pPr>
      <w:ind w:left="720"/>
      <w:contextualSpacing/>
    </w:pPr>
    <w:rPr>
      <w:szCs w:val="28"/>
      <w:lang w:bidi="th-TH"/>
    </w:rPr>
  </w:style>
  <w:style w:type="paragraph" w:styleId="Notedebasdepage">
    <w:name w:val="footnote text"/>
    <w:basedOn w:val="Normal"/>
    <w:link w:val="NotedebasdepageCar"/>
    <w:rsid w:val="008F00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fr-CH"/>
    </w:rPr>
  </w:style>
  <w:style w:type="character" w:customStyle="1" w:styleId="NotedebasdepageCar">
    <w:name w:val="Note de bas de page Car"/>
    <w:link w:val="Notedebasdepage"/>
    <w:rsid w:val="008F0052"/>
    <w:rPr>
      <w:rFonts w:ascii="Calibri" w:eastAsia="Times New Roman" w:hAnsi="Calibri" w:cs="Times New Roman"/>
      <w:sz w:val="20"/>
      <w:szCs w:val="20"/>
      <w:lang w:val="fr-FR" w:eastAsia="fr-CH"/>
    </w:rPr>
  </w:style>
  <w:style w:type="character" w:styleId="Appelnotedebasdep">
    <w:name w:val="footnote reference"/>
    <w:uiPriority w:val="99"/>
    <w:rsid w:val="008F0052"/>
    <w:rPr>
      <w:vertAlign w:val="superscript"/>
      <w:lang w:val="fr-FR"/>
    </w:rPr>
  </w:style>
  <w:style w:type="table" w:customStyle="1" w:styleId="TableGrid1">
    <w:name w:val="Table Grid1"/>
    <w:basedOn w:val="TableauNormal"/>
    <w:next w:val="Grilledutableau"/>
    <w:uiPriority w:val="59"/>
    <w:rsid w:val="00653BAB"/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auNormal"/>
    <w:next w:val="Grilledutableau"/>
    <w:uiPriority w:val="59"/>
    <w:rsid w:val="00E574F0"/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5C40-8CEC-4B96-A574-95A6345D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Kresslein</dc:creator>
  <cp:lastModifiedBy>Jacques H</cp:lastModifiedBy>
  <cp:revision>2</cp:revision>
  <cp:lastPrinted>2012-10-05T12:45:00Z</cp:lastPrinted>
  <dcterms:created xsi:type="dcterms:W3CDTF">2013-07-25T15:27:00Z</dcterms:created>
  <dcterms:modified xsi:type="dcterms:W3CDTF">2013-07-25T15:27:00Z</dcterms:modified>
</cp:coreProperties>
</file>